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>
      <w:pPr>
        <w:pStyle w:val="Style_1"/>
        <w:tabs>
          <w:tab w:leader="none" w:pos="708" w:val="left"/>
        </w:tabs>
        <w:ind w:hanging="1418"/>
        <w:contextualSpacing w:val="1"/>
        <w:jc w:val="center"/>
        <w:rPr>
          <w:color w:val="000000"/>
          <w:sz w:val="28"/>
        </w:rPr>
      </w:pPr>
      <w:r>
        <w:rPr>
          <w:color w:val="000000"/>
          <w:sz w:val="28"/>
        </w:rPr>
        <w:t>РОССИЙСКАЯ ФЕДЕРАЦИЯ</w:t>
      </w:r>
    </w:p>
    <w:p w14:paraId="02000000">
      <w:pPr>
        <w:pStyle w:val="Style_2"/>
        <w:ind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ИРКУТСКАЯ ОБЛАСТЬ</w:t>
      </w:r>
    </w:p>
    <w:p w14:paraId="03000000">
      <w:pPr>
        <w:pStyle w:val="Style_3"/>
        <w:ind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НУКУТСКИЙ РАЙОН</w:t>
      </w:r>
    </w:p>
    <w:p w14:paraId="04000000">
      <w:pPr>
        <w:pStyle w:val="Style_3"/>
        <w:ind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АДМИНИСТРАЦИЯ МУНИЦИПАЛЬНОГО ОБРАЗОВАНИЯ «ПЕРВОМАЙСКОЕ»</w:t>
      </w:r>
    </w:p>
    <w:p w14:paraId="05000000">
      <w:pPr>
        <w:pStyle w:val="Style_3"/>
        <w:ind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ПОСТАНОВЛЕНИЕ</w:t>
      </w:r>
    </w:p>
    <w:p w14:paraId="06000000">
      <w:r>
        <w:t>«26» июня 2023 года</w:t>
      </w:r>
      <w:r>
        <w:tab/>
      </w:r>
      <w:r>
        <w:tab/>
      </w:r>
      <w:r>
        <w:tab/>
      </w:r>
      <w:r>
        <w:t>№ 23</w:t>
      </w:r>
      <w:r>
        <w:tab/>
      </w:r>
      <w:r>
        <w:tab/>
      </w:r>
      <w:r>
        <w:tab/>
      </w:r>
      <w:r>
        <w:t>с.</w:t>
      </w:r>
      <w:r>
        <w:t xml:space="preserve"> </w:t>
      </w:r>
      <w:r>
        <w:t>Первомайское</w:t>
      </w:r>
    </w:p>
    <w:p w14:paraId="07000000">
      <w:pPr>
        <w:ind/>
        <w:jc w:val="both"/>
        <w:rPr>
          <w:b w:val="1"/>
          <w:color w:val="000000"/>
        </w:rPr>
      </w:pPr>
    </w:p>
    <w:p w14:paraId="08000000">
      <w:pPr>
        <w:pStyle w:val="Style_4"/>
        <w:ind/>
        <w:contextualSpacing w:val="1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ОБ УТВЕРЖДЕНИИ МУНИЦИПАЛЬНОЙ ПРОГРАММЫ «ЧИСТАЯ ВОДА» В МУНИЦИПАЛЬНОМ ОБРАЗОВАНИИ «ПЕРВОМАЙСКОЕ» НА 2023-2024 ГОДЫ</w:t>
      </w:r>
    </w:p>
    <w:p w14:paraId="09000000">
      <w:pPr>
        <w:pStyle w:val="Style_4"/>
        <w:ind/>
        <w:contextualSpacing w:val="1"/>
        <w:jc w:val="center"/>
        <w:rPr>
          <w:rFonts w:ascii="Times New Roman" w:hAnsi="Times New Roman"/>
          <w:color w:val="000000"/>
          <w:sz w:val="24"/>
        </w:rPr>
      </w:pPr>
    </w:p>
    <w:p w14:paraId="0A000000">
      <w:pPr>
        <w:ind w:firstLine="708"/>
        <w:contextualSpacing w:val="1"/>
        <w:jc w:val="both"/>
        <w:rPr>
          <w:color w:val="000000"/>
        </w:rPr>
      </w:pPr>
      <w:r>
        <w:rPr>
          <w:color w:val="000000"/>
        </w:rPr>
        <w:t xml:space="preserve">В соответствии с Федеральным законом от 06.10.2003 года № 131-ФЗ «Об общих принципах организации местного самоуправления в Российской Федерации», </w:t>
      </w:r>
      <w:r>
        <w:rPr>
          <w:color w:val="000000"/>
        </w:rPr>
        <w:t xml:space="preserve">статьей 179 </w:t>
      </w:r>
      <w:r>
        <w:rPr>
          <w:rStyle w:val="Style_5_ch"/>
          <w:color w:val="000000"/>
          <w:u w:val="none"/>
        </w:rPr>
        <w:fldChar w:fldCharType="begin"/>
      </w:r>
      <w:r>
        <w:rPr>
          <w:rStyle w:val="Style_5_ch"/>
          <w:color w:val="000000"/>
          <w:u w:val="none"/>
        </w:rPr>
        <w:instrText>HYPERLINK "http://docs.cntd.ru/document/901714433"</w:instrText>
      </w:r>
      <w:r>
        <w:rPr>
          <w:rStyle w:val="Style_5_ch"/>
          <w:color w:val="000000"/>
          <w:u w:val="none"/>
        </w:rPr>
        <w:fldChar w:fldCharType="separate"/>
      </w:r>
      <w:r>
        <w:rPr>
          <w:rStyle w:val="Style_5_ch"/>
          <w:color w:val="000000"/>
          <w:u w:val="none"/>
        </w:rPr>
        <w:t>Бюджетного кодекса Российской Федерации</w:t>
      </w:r>
      <w:r>
        <w:rPr>
          <w:rStyle w:val="Style_5_ch"/>
          <w:color w:val="000000"/>
          <w:u w:val="none"/>
        </w:rPr>
        <w:fldChar w:fldCharType="end"/>
      </w:r>
      <w:r>
        <w:rPr>
          <w:color w:val="000000"/>
        </w:rPr>
        <w:t>,</w:t>
      </w:r>
      <w:r>
        <w:rPr>
          <w:color w:val="000000"/>
        </w:rPr>
        <w:t xml:space="preserve"> </w:t>
      </w:r>
      <w:r>
        <w:rPr>
          <w:color w:val="000000"/>
        </w:rPr>
        <w:t>подпрограмм</w:t>
      </w:r>
      <w:r>
        <w:rPr>
          <w:color w:val="000000"/>
        </w:rPr>
        <w:t>ы</w:t>
      </w:r>
      <w:r>
        <w:rPr>
          <w:color w:val="000000"/>
        </w:rPr>
        <w:t xml:space="preserve"> "Чистая вода" на 2019 - 202</w:t>
      </w:r>
      <w:r>
        <w:rPr>
          <w:color w:val="000000"/>
        </w:rPr>
        <w:t>5</w:t>
      </w:r>
      <w:r>
        <w:rPr>
          <w:color w:val="000000"/>
        </w:rPr>
        <w:t xml:space="preserve"> годы</w:t>
      </w:r>
      <w:r>
        <w:rPr>
          <w:color w:val="000000"/>
        </w:rPr>
        <w:t xml:space="preserve"> государственной программы Иркутской области "Развитие жи</w:t>
      </w:r>
      <w:r>
        <w:rPr>
          <w:color w:val="000000"/>
        </w:rPr>
        <w:t xml:space="preserve">лищно - коммунального хозяйства и повышение </w:t>
      </w:r>
      <w:r>
        <w:rPr>
          <w:color w:val="000000"/>
        </w:rPr>
        <w:t>энергоэффективности</w:t>
      </w:r>
      <w:r>
        <w:rPr>
          <w:color w:val="000000"/>
        </w:rPr>
        <w:t xml:space="preserve"> Иркутской области" на 2019 - 202</w:t>
      </w:r>
      <w:r>
        <w:rPr>
          <w:color w:val="000000"/>
        </w:rPr>
        <w:t>5</w:t>
      </w:r>
      <w:r>
        <w:rPr>
          <w:color w:val="000000"/>
        </w:rPr>
        <w:t xml:space="preserve"> годы</w:t>
      </w:r>
      <w:r>
        <w:rPr>
          <w:color w:val="000000"/>
        </w:rPr>
        <w:t>, утвержденной постановлением Правительства Иркутской области от</w:t>
      </w:r>
      <w:r>
        <w:rPr>
          <w:color w:val="000000"/>
        </w:rPr>
        <w:t xml:space="preserve"> 11 декабря 2018 г. N 915-пп</w:t>
      </w:r>
      <w:r>
        <w:rPr>
          <w:color w:val="000000"/>
        </w:rPr>
        <w:t xml:space="preserve"> (в редакции постановления Правительства Иркутской области от 19.12.2022года №1022-пп),</w:t>
      </w:r>
      <w:r>
        <w:rPr>
          <w:color w:val="000000"/>
        </w:rPr>
        <w:t xml:space="preserve"> </w:t>
      </w:r>
      <w:r>
        <w:rPr>
          <w:color w:val="000000"/>
        </w:rPr>
        <w:t>Порядком разработки, реализации и оценки эффективности муниципальных программ муниципального образования «Первомайское», утвержденным постановлением администрации муниципального образования «Первомайское» от 12.09.2016 г. № 142, руководствуясь Уставом муниципального образования «Первомайское», Администрация</w:t>
      </w:r>
    </w:p>
    <w:p w14:paraId="0B000000">
      <w:pPr>
        <w:pStyle w:val="Style_4"/>
        <w:ind/>
        <w:contextualSpacing w:val="1"/>
        <w:jc w:val="center"/>
        <w:rPr>
          <w:rFonts w:ascii="Times New Roman" w:hAnsi="Times New Roman"/>
          <w:color w:val="000000"/>
          <w:sz w:val="24"/>
        </w:rPr>
      </w:pPr>
    </w:p>
    <w:p w14:paraId="0C000000">
      <w:pPr>
        <w:pStyle w:val="Style_6"/>
        <w:ind/>
        <w:contextualSpacing w:val="1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ПОСТАНОВЛЯ</w:t>
      </w:r>
      <w:r>
        <w:rPr>
          <w:rFonts w:ascii="Times New Roman" w:hAnsi="Times New Roman"/>
          <w:b w:val="1"/>
          <w:color w:val="000000"/>
          <w:sz w:val="24"/>
        </w:rPr>
        <w:t>ЕТ</w:t>
      </w:r>
      <w:r>
        <w:rPr>
          <w:rFonts w:ascii="Times New Roman" w:hAnsi="Times New Roman"/>
          <w:color w:val="000000"/>
          <w:sz w:val="24"/>
        </w:rPr>
        <w:t>:</w:t>
      </w:r>
    </w:p>
    <w:p w14:paraId="0D000000">
      <w:pPr>
        <w:ind w:firstLine="709"/>
        <w:contextualSpacing w:val="1"/>
        <w:jc w:val="both"/>
        <w:rPr>
          <w:color w:val="000000"/>
        </w:rPr>
      </w:pPr>
      <w:r>
        <w:rPr>
          <w:color w:val="000000"/>
        </w:rPr>
        <w:t>1. Утвердить муниципальную программу «Чистая вода» в муниципальном образовании «Первомайское» на 2023-2024 годы</w:t>
      </w:r>
      <w:r>
        <w:rPr>
          <w:color w:val="000000"/>
        </w:rPr>
        <w:t xml:space="preserve"> (прилагается)</w:t>
      </w:r>
      <w:r>
        <w:rPr>
          <w:color w:val="000000"/>
        </w:rPr>
        <w:t>.</w:t>
      </w:r>
    </w:p>
    <w:p w14:paraId="0E000000">
      <w:pPr>
        <w:ind w:firstLine="709"/>
        <w:contextualSpacing w:val="1"/>
        <w:jc w:val="both"/>
        <w:rPr>
          <w:color w:val="000000"/>
        </w:rPr>
      </w:pPr>
      <w:r>
        <w:rPr>
          <w:color w:val="000000"/>
        </w:rPr>
        <w:t xml:space="preserve">2. </w:t>
      </w:r>
      <w:r>
        <w:rPr>
          <w:color w:val="000000"/>
        </w:rPr>
        <w:t>Признать утратившими силу:</w:t>
      </w:r>
    </w:p>
    <w:p w14:paraId="0F000000">
      <w:pPr>
        <w:ind w:firstLine="709"/>
        <w:contextualSpacing w:val="1"/>
        <w:jc w:val="both"/>
        <w:rPr>
          <w:color w:val="000000"/>
        </w:rPr>
      </w:pPr>
      <w:r>
        <w:rPr>
          <w:color w:val="000000"/>
        </w:rPr>
        <w:t>- постановление администрации муниципального образования «</w:t>
      </w:r>
      <w:r>
        <w:rPr>
          <w:color w:val="000000"/>
        </w:rPr>
        <w:t>Певромайское</w:t>
      </w:r>
      <w:r>
        <w:rPr>
          <w:color w:val="000000"/>
        </w:rPr>
        <w:t>» от 11 июня 2021 г. №12 «Об утверждении  муниципальной программы «Чистая вода» в муниципальном образовании «Первомайское» на 2021 год»;</w:t>
      </w:r>
    </w:p>
    <w:p w14:paraId="10000000">
      <w:pPr>
        <w:ind w:firstLine="709"/>
        <w:contextualSpacing w:val="1"/>
        <w:jc w:val="both"/>
        <w:rPr>
          <w:color w:val="000000"/>
        </w:rPr>
      </w:pPr>
      <w:r>
        <w:rPr>
          <w:color w:val="000000"/>
        </w:rPr>
        <w:t>- постановление администрации муниципального образования «Первомайское» от 24 января 2022 г. №5-А «О внесении изменений в муниципальную программу «Чистая вода» муниципальном образовании «Первомайское» на 2021 год», утвержденную постановлением администрации муниципального образования «Первомайское» от 11 июня 2021 г. №12</w:t>
      </w:r>
      <w:r>
        <w:rPr>
          <w:color w:val="000000"/>
        </w:rPr>
        <w:t>.</w:t>
      </w:r>
    </w:p>
    <w:p w14:paraId="11000000">
      <w:pPr>
        <w:ind w:firstLine="709"/>
        <w:contextualSpacing w:val="1"/>
        <w:jc w:val="both"/>
        <w:rPr>
          <w:color w:val="000000"/>
        </w:rPr>
      </w:pPr>
      <w:r>
        <w:rPr>
          <w:color w:val="000000"/>
        </w:rPr>
        <w:t xml:space="preserve">3. </w:t>
      </w:r>
      <w:r>
        <w:rPr>
          <w:color w:val="000000"/>
        </w:rPr>
        <w:t>Установить, что в ходе реализации муниципальной программы «Чистая вода  в муниципальном образовании «Первомайское» на 2023</w:t>
      </w:r>
      <w:r>
        <w:rPr>
          <w:color w:val="000000"/>
        </w:rPr>
        <w:t>-2024 годы  возможна корректировка объёма финансирования с учётом рыночной конъюнктуры и средств бюджета поселения.</w:t>
      </w:r>
    </w:p>
    <w:p w14:paraId="12000000">
      <w:pPr>
        <w:pStyle w:val="Style_6"/>
        <w:ind w:firstLine="709"/>
        <w:contextualSpacing w:val="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4</w:t>
      </w:r>
      <w:r>
        <w:rPr>
          <w:rFonts w:ascii="Times New Roman" w:hAnsi="Times New Roman"/>
          <w:color w:val="000000"/>
          <w:sz w:val="24"/>
        </w:rPr>
        <w:t>. Опублико</w:t>
      </w:r>
      <w:r>
        <w:rPr>
          <w:rFonts w:ascii="Times New Roman" w:hAnsi="Times New Roman"/>
          <w:color w:val="000000"/>
          <w:sz w:val="24"/>
        </w:rPr>
        <w:t>вать настоящее постановление в печатном издании</w:t>
      </w:r>
      <w:r>
        <w:rPr>
          <w:rFonts w:ascii="Times New Roman" w:hAnsi="Times New Roman"/>
          <w:color w:val="000000"/>
          <w:sz w:val="24"/>
        </w:rPr>
        <w:t xml:space="preserve"> «Первомайский вестник» и </w:t>
      </w:r>
      <w:r>
        <w:rPr>
          <w:rFonts w:ascii="Times New Roman" w:hAnsi="Times New Roman"/>
          <w:color w:val="000000"/>
          <w:sz w:val="24"/>
        </w:rPr>
        <w:t xml:space="preserve">разместить </w:t>
      </w:r>
      <w:r>
        <w:rPr>
          <w:rFonts w:ascii="Times New Roman" w:hAnsi="Times New Roman"/>
          <w:color w:val="000000"/>
          <w:sz w:val="24"/>
        </w:rPr>
        <w:t>на официальном сайте администрации МО «Первомайское».</w:t>
      </w:r>
    </w:p>
    <w:p w14:paraId="13000000">
      <w:pPr>
        <w:pStyle w:val="Style_6"/>
        <w:ind w:firstLine="709"/>
        <w:contextualSpacing w:val="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5</w:t>
      </w:r>
      <w:r>
        <w:rPr>
          <w:rFonts w:ascii="Times New Roman" w:hAnsi="Times New Roman"/>
          <w:color w:val="000000"/>
          <w:sz w:val="24"/>
        </w:rPr>
        <w:t>. Настоящее</w:t>
      </w:r>
      <w:r>
        <w:rPr>
          <w:rFonts w:ascii="Times New Roman" w:hAnsi="Times New Roman"/>
          <w:color w:val="000000"/>
          <w:sz w:val="24"/>
        </w:rPr>
        <w:t xml:space="preserve"> постановление вступает в силу с момента официального опубликования.</w:t>
      </w:r>
    </w:p>
    <w:p w14:paraId="14000000">
      <w:pPr>
        <w:pStyle w:val="Style_6"/>
        <w:ind/>
        <w:contextualSpacing w:val="1"/>
        <w:jc w:val="both"/>
        <w:rPr>
          <w:rFonts w:ascii="Times New Roman" w:hAnsi="Times New Roman"/>
          <w:color w:val="000000"/>
          <w:sz w:val="24"/>
        </w:rPr>
      </w:pPr>
    </w:p>
    <w:p w14:paraId="15000000">
      <w:pPr>
        <w:pStyle w:val="Style_6"/>
        <w:ind/>
        <w:contextualSpacing w:val="1"/>
        <w:jc w:val="both"/>
        <w:rPr>
          <w:rFonts w:ascii="Times New Roman" w:hAnsi="Times New Roman"/>
          <w:color w:val="000000"/>
          <w:sz w:val="24"/>
        </w:rPr>
      </w:pPr>
    </w:p>
    <w:p w14:paraId="16000000">
      <w:pPr>
        <w:ind/>
        <w:contextualSpacing w:val="1"/>
        <w:jc w:val="both"/>
        <w:rPr>
          <w:color w:val="000000"/>
        </w:rPr>
      </w:pPr>
      <w:r>
        <w:rPr>
          <w:color w:val="000000"/>
        </w:rPr>
        <w:t>Глава администрации</w:t>
      </w:r>
    </w:p>
    <w:p w14:paraId="17000000">
      <w:pPr>
        <w:ind/>
        <w:contextualSpacing w:val="1"/>
        <w:jc w:val="both"/>
        <w:rPr>
          <w:color w:val="000000"/>
        </w:rPr>
      </w:pPr>
      <w:r>
        <w:rPr>
          <w:color w:val="000000"/>
        </w:rPr>
        <w:t>муниципального образования «Первомайское»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>А.И.</w:t>
      </w:r>
      <w:r>
        <w:rPr>
          <w:color w:val="000000"/>
        </w:rPr>
        <w:t xml:space="preserve"> </w:t>
      </w:r>
      <w:r>
        <w:rPr>
          <w:color w:val="000000"/>
        </w:rPr>
        <w:t>Кудак</w:t>
      </w:r>
      <w:r>
        <w:rPr>
          <w:color w:val="000000"/>
        </w:rPr>
        <w:t xml:space="preserve"> </w:t>
      </w:r>
    </w:p>
    <w:p w14:paraId="18000000">
      <w:pPr>
        <w:ind/>
        <w:contextualSpacing w:val="1"/>
        <w:jc w:val="both"/>
        <w:rPr>
          <w:color w:val="000000"/>
        </w:rPr>
      </w:pPr>
    </w:p>
    <w:p w14:paraId="19000000">
      <w:pPr>
        <w:ind w:firstLine="709"/>
        <w:contextualSpacing w:val="1"/>
        <w:jc w:val="right"/>
        <w:rPr>
          <w:color w:val="000000"/>
        </w:rPr>
      </w:pPr>
    </w:p>
    <w:p w14:paraId="1A000000">
      <w:pPr>
        <w:ind w:firstLine="709"/>
        <w:contextualSpacing w:val="1"/>
        <w:jc w:val="right"/>
        <w:rPr>
          <w:color w:val="000000"/>
        </w:rPr>
      </w:pPr>
    </w:p>
    <w:p w14:paraId="1B000000">
      <w:pPr>
        <w:ind w:firstLine="709"/>
        <w:contextualSpacing w:val="1"/>
        <w:jc w:val="right"/>
        <w:rPr>
          <w:color w:val="000000"/>
        </w:rPr>
      </w:pPr>
    </w:p>
    <w:p w14:paraId="1C000000">
      <w:pPr>
        <w:ind w:firstLine="709"/>
        <w:contextualSpacing w:val="1"/>
        <w:jc w:val="right"/>
        <w:rPr>
          <w:color w:val="000000"/>
        </w:rPr>
      </w:pPr>
    </w:p>
    <w:p w14:paraId="1D000000">
      <w:pPr>
        <w:ind w:firstLine="709"/>
        <w:contextualSpacing w:val="1"/>
        <w:jc w:val="right"/>
        <w:rPr>
          <w:color w:val="000000"/>
        </w:rPr>
      </w:pPr>
      <w:r>
        <w:rPr>
          <w:color w:val="000000"/>
        </w:rPr>
        <w:t xml:space="preserve">Утверждена </w:t>
      </w:r>
    </w:p>
    <w:p w14:paraId="1E000000">
      <w:pPr>
        <w:ind w:firstLine="709"/>
        <w:contextualSpacing w:val="1"/>
        <w:jc w:val="right"/>
        <w:rPr>
          <w:color w:val="000000"/>
        </w:rPr>
      </w:pPr>
      <w:r>
        <w:rPr>
          <w:color w:val="000000"/>
        </w:rPr>
        <w:t xml:space="preserve">постановлением </w:t>
      </w:r>
      <w:r>
        <w:rPr>
          <w:color w:val="000000"/>
        </w:rPr>
        <w:t xml:space="preserve"> администрации</w:t>
      </w:r>
    </w:p>
    <w:p w14:paraId="1F000000">
      <w:pPr>
        <w:ind w:firstLine="709"/>
        <w:contextualSpacing w:val="1"/>
        <w:jc w:val="right"/>
        <w:rPr>
          <w:color w:val="000000"/>
        </w:rPr>
      </w:pPr>
      <w:r>
        <w:rPr>
          <w:color w:val="000000"/>
        </w:rPr>
        <w:t>муниципального образования</w:t>
      </w:r>
      <w:r>
        <w:rPr>
          <w:color w:val="000000"/>
        </w:rPr>
        <w:t xml:space="preserve"> </w:t>
      </w:r>
      <w:r>
        <w:rPr>
          <w:color w:val="000000"/>
        </w:rPr>
        <w:t>«Первомайское»</w:t>
      </w:r>
    </w:p>
    <w:p w14:paraId="20000000">
      <w:pPr>
        <w:ind/>
        <w:jc w:val="right"/>
      </w:pPr>
      <w:r>
        <w:t>от «26» июня 2023 года № 23</w:t>
      </w:r>
    </w:p>
    <w:p w14:paraId="21000000">
      <w:pPr>
        <w:ind/>
        <w:contextualSpacing w:val="1"/>
        <w:jc w:val="center"/>
        <w:rPr>
          <w:b w:val="1"/>
          <w:color w:val="000000"/>
        </w:rPr>
      </w:pPr>
    </w:p>
    <w:p w14:paraId="22000000">
      <w:pPr>
        <w:ind/>
        <w:contextualSpacing w:val="1"/>
        <w:jc w:val="center"/>
        <w:rPr>
          <w:b w:val="1"/>
          <w:color w:val="000000"/>
        </w:rPr>
      </w:pPr>
      <w:r>
        <w:rPr>
          <w:b w:val="1"/>
          <w:color w:val="000000"/>
        </w:rPr>
        <w:t>МУНИЦИПАЛЬНАЯ ПРОГРАММА «ЧИСТАЯ ВОДА» В МУНИЦИПАЛЬНОМ ОБРАЗОВАНИИ «ПЕРВОМАЙСКОЕ» НА 2023-2024 ГОДЫ</w:t>
      </w:r>
    </w:p>
    <w:p w14:paraId="23000000">
      <w:pPr>
        <w:ind/>
        <w:contextualSpacing w:val="1"/>
        <w:rPr>
          <w:color w:val="000000"/>
        </w:rPr>
      </w:pPr>
    </w:p>
    <w:p w14:paraId="24000000">
      <w:pPr>
        <w:ind/>
        <w:contextualSpacing w:val="1"/>
        <w:jc w:val="center"/>
        <w:rPr>
          <w:b w:val="1"/>
          <w:color w:val="000000"/>
        </w:rPr>
      </w:pPr>
      <w:r>
        <w:rPr>
          <w:b w:val="1"/>
          <w:color w:val="000000"/>
        </w:rPr>
        <w:t>Паспорт муниципальной  программы «Чистая вода» в муниципальном  образовании «Первомайское» на 2023-2024 годы</w:t>
      </w:r>
      <w:r>
        <w:rPr>
          <w:b w:val="1"/>
          <w:color w:val="000000"/>
        </w:rPr>
        <w:t xml:space="preserve"> (далее –</w:t>
      </w:r>
      <w:r>
        <w:rPr>
          <w:b w:val="1"/>
          <w:color w:val="000000"/>
        </w:rPr>
        <w:t xml:space="preserve"> П</w:t>
      </w:r>
      <w:r>
        <w:rPr>
          <w:b w:val="1"/>
          <w:color w:val="000000"/>
        </w:rPr>
        <w:t>рограмма)</w:t>
      </w:r>
    </w:p>
    <w:p w14:paraId="25000000">
      <w:pPr>
        <w:ind/>
        <w:contextualSpacing w:val="1"/>
        <w:jc w:val="center"/>
        <w:rPr>
          <w:b w:val="1"/>
          <w:color w:val="000000"/>
        </w:rPr>
      </w:pPr>
    </w:p>
    <w:tbl>
      <w:tblPr>
        <w:tblStyle w:val="Style_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454"/>
        <w:gridCol w:w="6183"/>
      </w:tblGrid>
      <w:tr>
        <w:trPr>
          <w:trHeight w:hRule="atLeast" w:val="698"/>
        </w:trPr>
        <w:tc>
          <w:tcPr>
            <w:tcW w:type="dxa" w:w="34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00000">
            <w:pPr>
              <w:ind/>
              <w:contextualSpacing w:val="1"/>
              <w:rPr>
                <w:color w:val="000000"/>
                <w:sz w:val="22"/>
              </w:rPr>
            </w:pPr>
          </w:p>
          <w:p w14:paraId="27000000">
            <w:pPr>
              <w:ind/>
              <w:contextualSpacing w:val="1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</w:t>
            </w:r>
            <w:r>
              <w:rPr>
                <w:color w:val="000000"/>
                <w:sz w:val="22"/>
              </w:rPr>
              <w:t>Наименование программы</w:t>
            </w:r>
          </w:p>
        </w:tc>
        <w:tc>
          <w:tcPr>
            <w:tcW w:type="dxa" w:w="6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00000">
            <w:pPr>
              <w:ind/>
              <w:contextualSpacing w:val="1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Муниципальная программа «Чистая вода» в муниципальном образовании «Первомайское» на 20</w:t>
            </w:r>
            <w:r>
              <w:rPr>
                <w:color w:val="000000"/>
                <w:sz w:val="22"/>
              </w:rPr>
              <w:t xml:space="preserve">23-2024 годы </w:t>
            </w:r>
          </w:p>
        </w:tc>
      </w:tr>
      <w:tr>
        <w:trPr>
          <w:trHeight w:hRule="atLeast" w:val="948"/>
        </w:trPr>
        <w:tc>
          <w:tcPr>
            <w:tcW w:type="dxa" w:w="34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00000">
            <w:pPr>
              <w:ind/>
              <w:contextualSpacing w:val="1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Основание для реализации программы</w:t>
            </w:r>
          </w:p>
        </w:tc>
        <w:tc>
          <w:tcPr>
            <w:tcW w:type="dxa" w:w="6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00000">
            <w:pPr>
              <w:ind/>
              <w:contextualSpacing w:val="1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</w:t>
            </w:r>
            <w:r>
              <w:rPr>
                <w:color w:val="000000"/>
                <w:sz w:val="22"/>
              </w:rPr>
              <w:t xml:space="preserve">Федеральный закон от 06.10.2003 года № 131-ФЗ «Об общих принципах организации местного самоуправления в Российской Федерации», </w:t>
            </w:r>
            <w:r>
              <w:rPr>
                <w:color w:val="000000"/>
                <w:sz w:val="22"/>
              </w:rPr>
              <w:t xml:space="preserve">статья 179 </w:t>
            </w:r>
            <w:r>
              <w:rPr>
                <w:rStyle w:val="Style_5_ch"/>
                <w:color w:val="000000"/>
                <w:sz w:val="22"/>
                <w:u w:val="none"/>
              </w:rPr>
              <w:fldChar w:fldCharType="begin"/>
            </w:r>
            <w:r>
              <w:rPr>
                <w:rStyle w:val="Style_5_ch"/>
                <w:color w:val="000000"/>
                <w:sz w:val="22"/>
                <w:u w:val="none"/>
              </w:rPr>
              <w:instrText>HYPERLINK "http://docs.cntd.ru/document/901714433"</w:instrText>
            </w:r>
            <w:r>
              <w:rPr>
                <w:rStyle w:val="Style_5_ch"/>
                <w:color w:val="000000"/>
                <w:sz w:val="22"/>
                <w:u w:val="none"/>
              </w:rPr>
              <w:fldChar w:fldCharType="separate"/>
            </w:r>
            <w:r>
              <w:rPr>
                <w:rStyle w:val="Style_5_ch"/>
                <w:color w:val="000000"/>
                <w:sz w:val="22"/>
                <w:u w:val="none"/>
              </w:rPr>
              <w:t>Бюджетного кодекса Российской Федерации</w:t>
            </w:r>
            <w:r>
              <w:rPr>
                <w:rStyle w:val="Style_5_ch"/>
                <w:color w:val="000000"/>
                <w:sz w:val="22"/>
                <w:u w:val="none"/>
              </w:rPr>
              <w:fldChar w:fldCharType="end"/>
            </w:r>
            <w:r>
              <w:rPr>
                <w:color w:val="000000"/>
                <w:sz w:val="22"/>
              </w:rPr>
              <w:t>, подпрограмма</w:t>
            </w:r>
            <w:r>
              <w:rPr>
                <w:color w:val="000000"/>
                <w:sz w:val="22"/>
              </w:rPr>
              <w:t xml:space="preserve"> "Чистая вода" на 2019 - 2025</w:t>
            </w:r>
            <w:r>
              <w:rPr>
                <w:color w:val="000000"/>
                <w:sz w:val="22"/>
              </w:rPr>
              <w:t xml:space="preserve"> годы государственной программы Иркутской области "Развитие жилищно - коммунального хозяйства и повышение </w:t>
            </w:r>
            <w:r>
              <w:rPr>
                <w:color w:val="000000"/>
                <w:sz w:val="22"/>
              </w:rPr>
              <w:t>энергоэффективности</w:t>
            </w:r>
            <w:r>
              <w:rPr>
                <w:color w:val="000000"/>
                <w:sz w:val="22"/>
              </w:rPr>
              <w:t xml:space="preserve"> Иркутской области" на 2019 - 2025 годы, утвержденной постановлением Правительства Иркутской области от 11 декабря 2018 г. N 915-пп (в редакции постановления</w:t>
            </w:r>
            <w:r>
              <w:rPr>
                <w:color w:val="000000"/>
                <w:sz w:val="22"/>
              </w:rPr>
              <w:t xml:space="preserve"> </w:t>
            </w:r>
            <w:r>
              <w:rPr>
                <w:color w:val="000000"/>
                <w:sz w:val="22"/>
              </w:rPr>
              <w:t>Правительства Иркутской области от 19.12.2022года №1022-пп)</w:t>
            </w:r>
          </w:p>
        </w:tc>
      </w:tr>
      <w:tr>
        <w:trPr>
          <w:trHeight w:hRule="atLeast" w:val="463"/>
        </w:trPr>
        <w:tc>
          <w:tcPr>
            <w:tcW w:type="dxa" w:w="34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00000">
            <w:pPr>
              <w:ind/>
              <w:contextualSpacing w:val="1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Ответственный исполнитель программы</w:t>
            </w:r>
          </w:p>
        </w:tc>
        <w:tc>
          <w:tcPr>
            <w:tcW w:type="dxa" w:w="6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00000">
            <w:pPr>
              <w:ind/>
              <w:contextualSpacing w:val="1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Администрация  муниципального образования «Первомай</w:t>
            </w:r>
            <w:r>
              <w:rPr>
                <w:color w:val="000000"/>
                <w:sz w:val="22"/>
              </w:rPr>
              <w:t>ское» (далее - Администрация МО)</w:t>
            </w:r>
          </w:p>
        </w:tc>
      </w:tr>
      <w:tr>
        <w:trPr>
          <w:trHeight w:hRule="atLeast" w:val="555"/>
        </w:trPr>
        <w:tc>
          <w:tcPr>
            <w:tcW w:type="dxa" w:w="34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00000">
            <w:pPr>
              <w:ind/>
              <w:contextualSpacing w:val="1"/>
              <w:rPr>
                <w:color w:val="000000"/>
                <w:sz w:val="22"/>
              </w:rPr>
            </w:pPr>
          </w:p>
          <w:p w14:paraId="2E000000">
            <w:pPr>
              <w:ind/>
              <w:contextualSpacing w:val="1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Цель программы</w:t>
            </w:r>
          </w:p>
          <w:p w14:paraId="2F000000">
            <w:pPr>
              <w:ind/>
              <w:contextualSpacing w:val="1"/>
              <w:rPr>
                <w:color w:val="000000"/>
                <w:sz w:val="22"/>
              </w:rPr>
            </w:pPr>
          </w:p>
        </w:tc>
        <w:tc>
          <w:tcPr>
            <w:tcW w:type="dxa" w:w="6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00000">
            <w:pPr>
              <w:ind/>
              <w:contextualSpacing w:val="1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Обеспечение населения качественной питьевой водой, соответствующей установленным требованиям гигиенической безопасности </w:t>
            </w:r>
          </w:p>
        </w:tc>
      </w:tr>
      <w:tr>
        <w:trPr>
          <w:trHeight w:hRule="atLeast" w:val="561"/>
        </w:trPr>
        <w:tc>
          <w:tcPr>
            <w:tcW w:type="dxa" w:w="34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00000">
            <w:pPr>
              <w:ind/>
              <w:contextualSpacing w:val="1"/>
              <w:rPr>
                <w:color w:val="000000"/>
                <w:sz w:val="22"/>
              </w:rPr>
            </w:pPr>
          </w:p>
          <w:p w14:paraId="32000000">
            <w:pPr>
              <w:ind/>
              <w:contextualSpacing w:val="1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Задачи программы</w:t>
            </w:r>
          </w:p>
        </w:tc>
        <w:tc>
          <w:tcPr>
            <w:tcW w:type="dxa" w:w="6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00000">
            <w:pPr>
              <w:ind/>
              <w:contextualSpacing w:val="1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Приобретение специализированной техники для водоснабжения </w:t>
            </w:r>
            <w:r>
              <w:rPr>
                <w:color w:val="000000"/>
                <w:sz w:val="22"/>
              </w:rPr>
              <w:t>населения.</w:t>
            </w:r>
          </w:p>
        </w:tc>
      </w:tr>
      <w:tr>
        <w:trPr>
          <w:trHeight w:hRule="atLeast" w:val="399"/>
        </w:trPr>
        <w:tc>
          <w:tcPr>
            <w:tcW w:type="dxa" w:w="34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00000">
            <w:pPr>
              <w:ind/>
              <w:contextualSpacing w:val="1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Сроки реализации программы</w:t>
            </w:r>
          </w:p>
        </w:tc>
        <w:tc>
          <w:tcPr>
            <w:tcW w:type="dxa" w:w="6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00000">
            <w:pPr>
              <w:ind/>
              <w:contextualSpacing w:val="1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2023-2024 годы</w:t>
            </w:r>
          </w:p>
        </w:tc>
      </w:tr>
      <w:tr>
        <w:trPr>
          <w:trHeight w:hRule="atLeast" w:val="874"/>
        </w:trPr>
        <w:tc>
          <w:tcPr>
            <w:tcW w:type="dxa" w:w="34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00000">
            <w:pPr>
              <w:ind/>
              <w:contextualSpacing w:val="1"/>
              <w:rPr>
                <w:color w:val="000000"/>
                <w:sz w:val="22"/>
              </w:rPr>
            </w:pPr>
          </w:p>
          <w:p w14:paraId="37000000">
            <w:pPr>
              <w:ind/>
              <w:contextualSpacing w:val="1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Целевые показатели программы</w:t>
            </w:r>
          </w:p>
        </w:tc>
        <w:tc>
          <w:tcPr>
            <w:tcW w:type="dxa" w:w="6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00000">
            <w:pPr>
              <w:ind/>
              <w:contextualSpacing w:val="1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Доля населения, обеспеченная подвозом воды, отвечающим требованиям безопасности и обеспечение бюджетных организаций питьевой водой, отвечающей требованиям безопасности</w:t>
            </w:r>
            <w:r>
              <w:rPr>
                <w:color w:val="000000"/>
                <w:sz w:val="22"/>
              </w:rPr>
              <w:t xml:space="preserve"> 100%.</w:t>
            </w:r>
          </w:p>
        </w:tc>
      </w:tr>
      <w:tr>
        <w:trPr>
          <w:trHeight w:hRule="atLeast" w:val="571"/>
        </w:trPr>
        <w:tc>
          <w:tcPr>
            <w:tcW w:type="dxa" w:w="34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00000">
            <w:pPr>
              <w:ind/>
              <w:contextualSpacing w:val="1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Перечень  основных мероприятий программы</w:t>
            </w:r>
          </w:p>
        </w:tc>
        <w:tc>
          <w:tcPr>
            <w:tcW w:type="dxa" w:w="6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00000">
            <w:pPr>
              <w:ind/>
              <w:contextualSpacing w:val="1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Приобретение специализированной техники для водоснабжения населения. </w:t>
            </w:r>
          </w:p>
        </w:tc>
      </w:tr>
      <w:tr>
        <w:trPr>
          <w:trHeight w:hRule="atLeast" w:val="970"/>
        </w:trPr>
        <w:tc>
          <w:tcPr>
            <w:tcW w:type="dxa" w:w="34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00000">
            <w:pPr>
              <w:ind/>
              <w:contextualSpacing w:val="1"/>
              <w:rPr>
                <w:color w:val="000000"/>
                <w:sz w:val="22"/>
              </w:rPr>
            </w:pPr>
          </w:p>
          <w:p w14:paraId="3C000000">
            <w:pPr>
              <w:ind/>
              <w:contextualSpacing w:val="1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Ресурсное обеспечение программы</w:t>
            </w:r>
          </w:p>
        </w:tc>
        <w:tc>
          <w:tcPr>
            <w:tcW w:type="dxa" w:w="6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00000">
            <w:pPr>
              <w:ind/>
              <w:contextualSpacing w:val="1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Общий объем финансирования Программы</w:t>
            </w:r>
            <w:r>
              <w:rPr>
                <w:color w:val="000000"/>
                <w:sz w:val="22"/>
              </w:rPr>
              <w:t>, в том числе:</w:t>
            </w:r>
          </w:p>
          <w:p w14:paraId="3E000000">
            <w:pPr>
              <w:ind/>
              <w:contextualSpacing w:val="1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2023 год – 0 </w:t>
            </w:r>
            <w:r>
              <w:rPr>
                <w:color w:val="000000"/>
                <w:sz w:val="22"/>
              </w:rPr>
              <w:t>тыс</w:t>
            </w:r>
            <w:r>
              <w:rPr>
                <w:color w:val="000000"/>
                <w:sz w:val="22"/>
              </w:rPr>
              <w:t>.р</w:t>
            </w:r>
            <w:r>
              <w:rPr>
                <w:color w:val="000000"/>
                <w:sz w:val="22"/>
              </w:rPr>
              <w:t>ублей</w:t>
            </w:r>
            <w:r>
              <w:rPr>
                <w:color w:val="000000"/>
                <w:sz w:val="22"/>
              </w:rPr>
              <w:t>;</w:t>
            </w:r>
          </w:p>
          <w:p w14:paraId="3F000000">
            <w:pPr>
              <w:ind/>
              <w:contextualSpacing w:val="1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2024 год - 8366,7 тыс. руб.;</w:t>
            </w:r>
          </w:p>
          <w:p w14:paraId="40000000">
            <w:pPr>
              <w:ind/>
              <w:contextualSpacing w:val="1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Объем финансирования за счет планируемых средств областного бюджета, в том числе:</w:t>
            </w:r>
          </w:p>
          <w:p w14:paraId="41000000">
            <w:pPr>
              <w:ind/>
              <w:contextualSpacing w:val="1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2023 год – 0 </w:t>
            </w:r>
            <w:r>
              <w:rPr>
                <w:color w:val="000000"/>
                <w:sz w:val="22"/>
              </w:rPr>
              <w:t>тыс</w:t>
            </w:r>
            <w:r>
              <w:rPr>
                <w:color w:val="000000"/>
                <w:sz w:val="22"/>
              </w:rPr>
              <w:t>.р</w:t>
            </w:r>
            <w:r>
              <w:rPr>
                <w:color w:val="000000"/>
                <w:sz w:val="22"/>
              </w:rPr>
              <w:t>ублей</w:t>
            </w:r>
            <w:r>
              <w:rPr>
                <w:color w:val="000000"/>
                <w:sz w:val="22"/>
              </w:rPr>
              <w:t>;</w:t>
            </w:r>
          </w:p>
          <w:p w14:paraId="42000000">
            <w:pPr>
              <w:ind/>
              <w:contextualSpacing w:val="1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2024 год - 8283,0 </w:t>
            </w:r>
            <w:r>
              <w:rPr>
                <w:color w:val="000000"/>
                <w:sz w:val="22"/>
              </w:rPr>
              <w:t>тыс</w:t>
            </w:r>
            <w:r>
              <w:rPr>
                <w:color w:val="000000"/>
                <w:sz w:val="22"/>
              </w:rPr>
              <w:t>.р</w:t>
            </w:r>
            <w:r>
              <w:rPr>
                <w:color w:val="000000"/>
                <w:sz w:val="22"/>
              </w:rPr>
              <w:t>уб</w:t>
            </w:r>
            <w:r>
              <w:rPr>
                <w:color w:val="000000"/>
                <w:sz w:val="22"/>
              </w:rPr>
              <w:t>.;</w:t>
            </w:r>
          </w:p>
          <w:p w14:paraId="43000000">
            <w:pPr>
              <w:ind/>
              <w:contextualSpacing w:val="1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Объем финансирования за счет средств местного бюджета:</w:t>
            </w:r>
          </w:p>
          <w:p w14:paraId="44000000">
            <w:pPr>
              <w:ind/>
              <w:contextualSpacing w:val="1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2023 год – 0 </w:t>
            </w:r>
            <w:r>
              <w:rPr>
                <w:color w:val="000000"/>
                <w:sz w:val="22"/>
              </w:rPr>
              <w:t>тыс</w:t>
            </w:r>
            <w:r>
              <w:rPr>
                <w:color w:val="000000"/>
                <w:sz w:val="22"/>
              </w:rPr>
              <w:t>.р</w:t>
            </w:r>
            <w:r>
              <w:rPr>
                <w:color w:val="000000"/>
                <w:sz w:val="22"/>
              </w:rPr>
              <w:t>ублей</w:t>
            </w:r>
            <w:r>
              <w:rPr>
                <w:color w:val="000000"/>
                <w:sz w:val="22"/>
              </w:rPr>
              <w:t>;</w:t>
            </w:r>
          </w:p>
          <w:p w14:paraId="45000000">
            <w:pPr>
              <w:ind/>
              <w:contextualSpacing w:val="1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2024 гож - 83,7 </w:t>
            </w:r>
            <w:r>
              <w:rPr>
                <w:color w:val="000000"/>
                <w:sz w:val="22"/>
              </w:rPr>
              <w:t>тыс</w:t>
            </w:r>
            <w:r>
              <w:rPr>
                <w:color w:val="000000"/>
                <w:sz w:val="22"/>
              </w:rPr>
              <w:t>.р</w:t>
            </w:r>
            <w:r>
              <w:rPr>
                <w:color w:val="000000"/>
                <w:sz w:val="22"/>
              </w:rPr>
              <w:t>уб</w:t>
            </w:r>
            <w:r>
              <w:rPr>
                <w:color w:val="000000"/>
                <w:sz w:val="22"/>
              </w:rPr>
              <w:t>.</w:t>
            </w:r>
          </w:p>
          <w:p w14:paraId="46000000">
            <w:pPr>
              <w:ind/>
              <w:contextualSpacing w:val="1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  <w:r>
              <w:rPr>
                <w:color w:val="000000"/>
                <w:sz w:val="22"/>
              </w:rPr>
              <w:t xml:space="preserve">бъемы финансирования </w:t>
            </w:r>
            <w:r>
              <w:rPr>
                <w:color w:val="000000"/>
                <w:sz w:val="22"/>
              </w:rPr>
              <w:t>П</w:t>
            </w:r>
            <w:r>
              <w:rPr>
                <w:color w:val="000000"/>
                <w:sz w:val="22"/>
              </w:rPr>
              <w:t>рограммы ежегодно уточняются при формировании местного бюджета на очередной финансовый год, исходя из возможностей местного бюджета и затрат, необходимых для реализации программы</w:t>
            </w:r>
          </w:p>
        </w:tc>
      </w:tr>
      <w:tr>
        <w:trPr>
          <w:trHeight w:hRule="atLeast" w:val="416"/>
        </w:trPr>
        <w:tc>
          <w:tcPr>
            <w:tcW w:type="dxa" w:w="34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00000">
            <w:pPr>
              <w:ind/>
              <w:contextualSpacing w:val="1"/>
              <w:rPr>
                <w:color w:val="000000"/>
                <w:sz w:val="22"/>
              </w:rPr>
            </w:pPr>
          </w:p>
          <w:p w14:paraId="48000000">
            <w:pPr>
              <w:ind/>
              <w:contextualSpacing w:val="1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Ожидаемые конечные результаты реализации программы</w:t>
            </w:r>
          </w:p>
        </w:tc>
        <w:tc>
          <w:tcPr>
            <w:tcW w:type="dxa" w:w="6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00000">
            <w:pPr>
              <w:ind/>
              <w:contextualSpacing w:val="1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Доля населения, обеспеченного питьевой водой, отвечающей требованиям безопасности, в общей численности населения -100 %</w:t>
            </w:r>
          </w:p>
          <w:p w14:paraId="4A000000">
            <w:pPr>
              <w:ind/>
              <w:contextualSpacing w:val="1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Ожидается, что в результате реализации Программы будут достигнуты рост обеспеченности населения питьевой водой, </w:t>
            </w:r>
            <w:r>
              <w:rPr>
                <w:color w:val="000000"/>
                <w:sz w:val="22"/>
              </w:rPr>
              <w:t>соответствующей гигиени</w:t>
            </w:r>
            <w:r>
              <w:rPr>
                <w:color w:val="000000"/>
                <w:sz w:val="22"/>
              </w:rPr>
              <w:t>ческим нормативам, решится вопрос с доставкой воды населению, что приведет к повышению качества жизни граждан и снижению заболеваемости.</w:t>
            </w:r>
          </w:p>
        </w:tc>
      </w:tr>
    </w:tbl>
    <w:p w14:paraId="4B000000">
      <w:pPr>
        <w:ind/>
        <w:contextualSpacing w:val="1"/>
        <w:jc w:val="center"/>
        <w:rPr>
          <w:color w:val="000000"/>
        </w:rPr>
      </w:pPr>
    </w:p>
    <w:p w14:paraId="4C000000">
      <w:pPr>
        <w:ind/>
        <w:contextualSpacing w:val="1"/>
        <w:jc w:val="center"/>
        <w:rPr>
          <w:color w:val="000000"/>
        </w:rPr>
      </w:pPr>
      <w:r>
        <w:rPr>
          <w:color w:val="000000"/>
        </w:rPr>
        <w:t>РАЗДЕЛ 1. ЦЕЛЬ И ЗАДАЧИ ПРОГРАММЫ, ЦЕЛЕВЫЕ ПОКАЗАТЕЛИ ПРОГРАММЫ, СРОКИ РЕАЛИЗАЦИИ</w:t>
      </w:r>
    </w:p>
    <w:p w14:paraId="4D000000">
      <w:pPr>
        <w:ind/>
        <w:contextualSpacing w:val="1"/>
        <w:jc w:val="center"/>
        <w:rPr>
          <w:color w:val="000000"/>
        </w:rPr>
      </w:pPr>
    </w:p>
    <w:p w14:paraId="4E000000">
      <w:pPr>
        <w:ind w:firstLine="709"/>
        <w:contextualSpacing w:val="1"/>
        <w:jc w:val="both"/>
        <w:rPr>
          <w:color w:val="000000"/>
        </w:rPr>
      </w:pPr>
      <w:r>
        <w:rPr>
          <w:color w:val="000000"/>
        </w:rPr>
        <w:t xml:space="preserve">Программа содержит комплекс задач </w:t>
      </w:r>
      <w:r>
        <w:rPr>
          <w:color w:val="000000"/>
        </w:rPr>
        <w:t>по созданию условий для достижения цели программы, а именно: обеспечение населения и бюджетные организации, расположенные на территории муниципального образования «Первомайское» качественной питьевой водой, соответствующей установленным требованиям безопас</w:t>
      </w:r>
      <w:r>
        <w:rPr>
          <w:color w:val="000000"/>
        </w:rPr>
        <w:t>ности и безвредности.</w:t>
      </w:r>
    </w:p>
    <w:p w14:paraId="4F000000">
      <w:pPr>
        <w:ind w:firstLine="709"/>
        <w:contextualSpacing w:val="1"/>
        <w:jc w:val="both"/>
        <w:rPr>
          <w:color w:val="000000"/>
        </w:rPr>
      </w:pPr>
      <w:r>
        <w:rPr>
          <w:color w:val="000000"/>
        </w:rPr>
        <w:t xml:space="preserve">Программа разрабатывается с учетом </w:t>
      </w:r>
      <w:r>
        <w:rPr>
          <w:color w:val="000000"/>
        </w:rPr>
        <w:t xml:space="preserve">подпрограммы "Чистая вода" на 2019 - 2025 годы государственной программы Иркутской области "Развитие жилищно - коммунального хозяйства и повышение </w:t>
      </w:r>
      <w:r>
        <w:rPr>
          <w:color w:val="000000"/>
        </w:rPr>
        <w:t>энергоэффективности</w:t>
      </w:r>
      <w:r>
        <w:rPr>
          <w:color w:val="000000"/>
        </w:rPr>
        <w:t xml:space="preserve"> Иркутской области" на 2019 - 2025 годы, утвержденной постановлением Правительства Иркутской области от 11 декабря 2018 г. N 915-пп (в редакции постановления Правительства Иркутской области от 19.12.2022года №1022-пп)</w:t>
      </w:r>
      <w:r>
        <w:rPr>
          <w:color w:val="000000"/>
        </w:rPr>
        <w:t>,</w:t>
      </w:r>
      <w:r>
        <w:rPr>
          <w:color w:val="000000"/>
        </w:rPr>
        <w:t xml:space="preserve"> </w:t>
      </w:r>
      <w:r>
        <w:rPr>
          <w:color w:val="000000"/>
        </w:rPr>
        <w:t xml:space="preserve">на основании Положения </w:t>
      </w:r>
      <w:r>
        <w:rPr>
          <w:color w:val="000000"/>
        </w:rPr>
        <w:t>о предоставлении субсидии из областного бюджета местным</w:t>
      </w:r>
      <w:r>
        <w:rPr>
          <w:color w:val="000000"/>
        </w:rPr>
        <w:t xml:space="preserve"> </w:t>
      </w:r>
      <w:r>
        <w:rPr>
          <w:color w:val="000000"/>
        </w:rPr>
        <w:t xml:space="preserve">бюджетам на строительство, реконструкцию и модернизацию объектов водоснабжения, водоотведения и очистки сточных вод, в том числе разработку проектной документации, а также на приобретение указанных объектов в муниципальную собственность, субсидии на реализацию мероприятий по приобретению оборудования для систем водоснабжения и субсидии на реализацию мероприятий по приобретению специализированной техники для водоснабжения населения", </w:t>
      </w:r>
      <w:r>
        <w:rPr>
          <w:color w:val="000000"/>
        </w:rPr>
        <w:t>утвержденной постановлением Правительством Иркутской области от 2 июня 2016 года</w:t>
      </w:r>
      <w:r>
        <w:rPr>
          <w:color w:val="000000"/>
        </w:rPr>
        <w:t xml:space="preserve"> №336-пп, </w:t>
      </w:r>
      <w:r>
        <w:rPr>
          <w:color w:val="000000"/>
        </w:rPr>
        <w:t>цель</w:t>
      </w:r>
      <w:r>
        <w:rPr>
          <w:color w:val="000000"/>
        </w:rPr>
        <w:t xml:space="preserve"> которой: повышение качества человеческог</w:t>
      </w:r>
      <w:r>
        <w:rPr>
          <w:color w:val="000000"/>
        </w:rPr>
        <w:t>о потенциала</w:t>
      </w:r>
      <w:r>
        <w:rPr>
          <w:color w:val="000000"/>
        </w:rPr>
        <w:t>, обеспечение пространственного и инфраструктурн</w:t>
      </w:r>
      <w:r>
        <w:rPr>
          <w:color w:val="000000"/>
        </w:rPr>
        <w:t>ого развития Иркутской области</w:t>
      </w:r>
      <w:r>
        <w:rPr>
          <w:color w:val="000000"/>
        </w:rPr>
        <w:t>, для достижения которых ставится задача повышения качества предоставляемых коммунальных услуг.</w:t>
      </w:r>
    </w:p>
    <w:p w14:paraId="50000000">
      <w:pPr>
        <w:ind w:firstLine="709"/>
        <w:contextualSpacing w:val="1"/>
        <w:jc w:val="both"/>
        <w:rPr>
          <w:color w:val="000000"/>
        </w:rPr>
      </w:pPr>
      <w:r>
        <w:rPr>
          <w:color w:val="000000"/>
        </w:rPr>
        <w:t>Сохранение и поддержание состояния</w:t>
      </w:r>
      <w:r>
        <w:rPr>
          <w:color w:val="000000"/>
        </w:rPr>
        <w:t xml:space="preserve"> здоровья населения на уровне, соответствующем критериям цивилизованного общества, является одной из стратегических задач социальной политики. При этом и принципиальное значение  имеет качество питьевой воды - важнейшее условие сохранения здоровья населени</w:t>
      </w:r>
      <w:r>
        <w:rPr>
          <w:color w:val="000000"/>
        </w:rPr>
        <w:t>я. Вопрос гарантированного обеспечения питьевой водой в необходимых количествах и соответствующего качества по доступной цене для каждого жителя поселения является одним из главных целевых показателей государственной социальной политики, направленной на бл</w:t>
      </w:r>
      <w:r>
        <w:rPr>
          <w:color w:val="000000"/>
        </w:rPr>
        <w:t>агополучие населения.</w:t>
      </w:r>
    </w:p>
    <w:p w14:paraId="51000000">
      <w:pPr>
        <w:ind w:firstLine="709"/>
        <w:contextualSpacing w:val="1"/>
        <w:jc w:val="both"/>
        <w:rPr>
          <w:color w:val="000000"/>
        </w:rPr>
      </w:pPr>
      <w:r>
        <w:rPr>
          <w:color w:val="000000"/>
        </w:rPr>
        <w:t>В результате реализации мероприятия уровень обеспеченности сельского населения чистой питьевой водой составит 100%, для бюджетных организаций составит 100%.</w:t>
      </w:r>
    </w:p>
    <w:p w14:paraId="52000000">
      <w:pPr>
        <w:ind w:firstLine="709"/>
        <w:contextualSpacing w:val="1"/>
        <w:jc w:val="both"/>
        <w:rPr>
          <w:color w:val="000000"/>
        </w:rPr>
      </w:pPr>
      <w:r>
        <w:rPr>
          <w:color w:val="000000"/>
        </w:rPr>
        <w:t>Для достижения поставленной цели необходимо решение следующих задач:</w:t>
      </w:r>
    </w:p>
    <w:p w14:paraId="53000000">
      <w:pPr>
        <w:ind w:firstLine="709"/>
        <w:contextualSpacing w:val="1"/>
        <w:jc w:val="both"/>
        <w:rPr>
          <w:color w:val="000000"/>
        </w:rPr>
      </w:pPr>
      <w:r>
        <w:rPr>
          <w:color w:val="000000"/>
        </w:rPr>
        <w:t xml:space="preserve">1. </w:t>
      </w:r>
      <w:r>
        <w:rPr>
          <w:color w:val="000000"/>
        </w:rPr>
        <w:t>Приобретение специализированной техники для водоснабжения населения  реализуется в один этап в 2024 году.</w:t>
      </w:r>
    </w:p>
    <w:p w14:paraId="54000000">
      <w:pPr>
        <w:ind w:firstLine="709"/>
        <w:contextualSpacing w:val="1"/>
        <w:jc w:val="both"/>
        <w:rPr>
          <w:color w:val="000000"/>
        </w:rPr>
      </w:pPr>
      <w:r>
        <w:rPr>
          <w:color w:val="000000"/>
        </w:rPr>
        <w:t>Достижение цели будет обеспечено путем достижения следующих целевых показателей:</w:t>
      </w:r>
    </w:p>
    <w:p w14:paraId="55000000">
      <w:pPr>
        <w:ind w:firstLine="709"/>
        <w:contextualSpacing w:val="1"/>
        <w:jc w:val="both"/>
        <w:rPr>
          <w:color w:val="000000"/>
        </w:rPr>
      </w:pPr>
      <w:r>
        <w:rPr>
          <w:color w:val="000000"/>
        </w:rPr>
        <w:t xml:space="preserve">1. Доля населения обеспеченная подвозом воды, отвечающим требованиям </w:t>
      </w:r>
      <w:r>
        <w:rPr>
          <w:color w:val="000000"/>
        </w:rPr>
        <w:t>безопасности, в общей численности населения 100%.</w:t>
      </w:r>
    </w:p>
    <w:p w14:paraId="56000000">
      <w:pPr>
        <w:ind/>
        <w:contextualSpacing w:val="1"/>
        <w:jc w:val="both"/>
        <w:rPr>
          <w:color w:val="000000"/>
        </w:rPr>
      </w:pPr>
    </w:p>
    <w:p w14:paraId="57000000">
      <w:pPr>
        <w:ind/>
        <w:contextualSpacing w:val="1"/>
        <w:jc w:val="center"/>
        <w:rPr>
          <w:color w:val="000000"/>
        </w:rPr>
      </w:pPr>
      <w:r>
        <w:rPr>
          <w:color w:val="000000"/>
        </w:rPr>
        <w:t>РАЗДЕЛ 2.ОСНОВНЫЕ МЕРОПРИЯТИЯ ПРОГРАММЫ</w:t>
      </w:r>
    </w:p>
    <w:p w14:paraId="58000000">
      <w:pPr>
        <w:ind w:firstLine="709"/>
        <w:contextualSpacing w:val="1"/>
        <w:jc w:val="both"/>
        <w:rPr>
          <w:color w:val="000000"/>
        </w:rPr>
      </w:pPr>
      <w:r>
        <w:rPr>
          <w:color w:val="000000"/>
        </w:rPr>
        <w:t>Программа не содержит ведомственных целевых программ.</w:t>
      </w:r>
    </w:p>
    <w:p w14:paraId="59000000">
      <w:pPr>
        <w:ind w:firstLine="709"/>
        <w:contextualSpacing w:val="1"/>
        <w:jc w:val="both"/>
        <w:rPr>
          <w:color w:val="000000"/>
        </w:rPr>
      </w:pPr>
      <w:r>
        <w:rPr>
          <w:color w:val="000000"/>
        </w:rPr>
        <w:t>Программой планируется реализация следующих основных мероприятий:</w:t>
      </w:r>
    </w:p>
    <w:p w14:paraId="5A000000">
      <w:pPr>
        <w:ind w:firstLine="709"/>
        <w:contextualSpacing w:val="1"/>
        <w:jc w:val="both"/>
        <w:rPr>
          <w:color w:val="000000"/>
        </w:rPr>
      </w:pPr>
      <w:r>
        <w:rPr>
          <w:color w:val="000000"/>
        </w:rPr>
        <w:t>1. Обеспечение доставки питьевой воды населе</w:t>
      </w:r>
      <w:r>
        <w:rPr>
          <w:color w:val="000000"/>
        </w:rPr>
        <w:t>нию и учреждениям социальной инфраструктуры муниципального образования «Первомайское».</w:t>
      </w:r>
    </w:p>
    <w:p w14:paraId="5B000000">
      <w:pPr>
        <w:ind w:firstLine="709"/>
        <w:contextualSpacing w:val="1"/>
        <w:jc w:val="both"/>
        <w:rPr>
          <w:color w:val="000000"/>
        </w:rPr>
      </w:pPr>
      <w:r>
        <w:rPr>
          <w:color w:val="000000"/>
        </w:rPr>
        <w:t>В рамках данного основного мероприятия планируется реализация следующего мероприятия:</w:t>
      </w:r>
    </w:p>
    <w:p w14:paraId="5C000000">
      <w:pPr>
        <w:ind w:firstLine="709"/>
        <w:contextualSpacing w:val="1"/>
        <w:jc w:val="both"/>
        <w:rPr>
          <w:color w:val="000000"/>
        </w:rPr>
      </w:pPr>
      <w:r>
        <w:rPr>
          <w:i w:val="1"/>
          <w:color w:val="000000"/>
        </w:rPr>
        <w:t xml:space="preserve">- </w:t>
      </w:r>
      <w:r>
        <w:rPr>
          <w:color w:val="000000"/>
        </w:rPr>
        <w:t>приобретение специализированной техники для водоснабжения населения.</w:t>
      </w:r>
    </w:p>
    <w:p w14:paraId="5D000000">
      <w:pPr>
        <w:ind/>
        <w:contextualSpacing w:val="1"/>
        <w:rPr>
          <w:color w:val="000000"/>
        </w:rPr>
      </w:pPr>
    </w:p>
    <w:p w14:paraId="5E000000">
      <w:pPr>
        <w:ind/>
        <w:contextualSpacing w:val="1"/>
        <w:jc w:val="center"/>
        <w:rPr>
          <w:color w:val="000000"/>
        </w:rPr>
      </w:pPr>
      <w:r>
        <w:rPr>
          <w:color w:val="000000"/>
        </w:rPr>
        <w:t>РАЗДЕЛ 3.МЕ</w:t>
      </w:r>
      <w:r>
        <w:rPr>
          <w:color w:val="000000"/>
        </w:rPr>
        <w:t>РЫ ГОСУДАРСТВЕННОГО РЕГУЛИРОВАНИЯ, НАПРАВЛЕННЫЕ НА ДОСТИЖЕНИЯ ЦЕЛИ И ЗАДАЧ ПРОГРАММЫ</w:t>
      </w:r>
    </w:p>
    <w:p w14:paraId="5F000000">
      <w:pPr>
        <w:ind w:firstLine="709"/>
        <w:contextualSpacing w:val="1"/>
        <w:jc w:val="both"/>
        <w:rPr>
          <w:color w:val="000000"/>
        </w:rPr>
      </w:pPr>
      <w:r>
        <w:rPr>
          <w:color w:val="000000"/>
        </w:rPr>
        <w:t>Основным мероприятием Программы является – приобретение специализированной техники для водоснабжения населения.</w:t>
      </w:r>
    </w:p>
    <w:p w14:paraId="60000000">
      <w:pPr>
        <w:ind w:firstLine="709"/>
        <w:contextualSpacing w:val="1"/>
        <w:jc w:val="both"/>
        <w:rPr>
          <w:color w:val="000000"/>
        </w:rPr>
      </w:pPr>
      <w:r>
        <w:rPr>
          <w:color w:val="000000"/>
        </w:rPr>
        <w:t>Для эффективного развития сектора водоснабжения необходимо</w:t>
      </w:r>
      <w:r>
        <w:rPr>
          <w:color w:val="000000"/>
        </w:rPr>
        <w:t xml:space="preserve"> привлечение субъектов малого и среднего предпринимательства к управлению системами коммунальной инфраструктуры и стимулирование внебюджетных инвестиций в их строительство, реконструкцию и модернизацию.</w:t>
      </w:r>
    </w:p>
    <w:p w14:paraId="61000000">
      <w:pPr>
        <w:ind w:firstLine="709"/>
        <w:contextualSpacing w:val="1"/>
        <w:jc w:val="both"/>
        <w:rPr>
          <w:color w:val="000000"/>
        </w:rPr>
      </w:pPr>
      <w:r>
        <w:rPr>
          <w:color w:val="000000"/>
        </w:rPr>
        <w:t>Для повышения инвестиционной привлекательности сектор</w:t>
      </w:r>
      <w:r>
        <w:rPr>
          <w:color w:val="000000"/>
        </w:rPr>
        <w:t>а водоснабжения инвесторам должны быть обеспечены гарантии возврата вложенных инвестиций. Действующая система регулирования, основанная на применении метода экономически обоснованных затрат, требует реформирования, которое должно осуществляться путем устан</w:t>
      </w:r>
      <w:r>
        <w:rPr>
          <w:color w:val="000000"/>
        </w:rPr>
        <w:t>овления долгосрочных тарифов и привлечения частных операторов к управлению системами коммунальной инфраструктуры на основе государственного – частного партнерства.</w:t>
      </w:r>
    </w:p>
    <w:p w14:paraId="62000000">
      <w:pPr>
        <w:ind w:firstLine="709"/>
        <w:contextualSpacing w:val="1"/>
        <w:jc w:val="both"/>
        <w:rPr>
          <w:color w:val="000000"/>
        </w:rPr>
      </w:pPr>
      <w:r>
        <w:rPr>
          <w:color w:val="000000"/>
        </w:rPr>
        <w:t>Помимо этого необходимо обеспечить установление долгосрочных тарифов с применением доходност</w:t>
      </w:r>
      <w:r>
        <w:rPr>
          <w:color w:val="000000"/>
        </w:rPr>
        <w:t>и инвестированного капитала, в соответствии с которым  тарифы устанавливаются на срок от 3 до 5 лет.</w:t>
      </w:r>
    </w:p>
    <w:p w14:paraId="63000000">
      <w:pPr>
        <w:ind w:firstLine="709"/>
        <w:contextualSpacing w:val="1"/>
        <w:jc w:val="both"/>
        <w:rPr>
          <w:color w:val="000000"/>
        </w:rPr>
      </w:pPr>
      <w:r>
        <w:rPr>
          <w:color w:val="000000"/>
        </w:rPr>
        <w:t>В случае применения этого метода тариф формируется из следующих составляющих:</w:t>
      </w:r>
    </w:p>
    <w:p w14:paraId="64000000">
      <w:pPr>
        <w:ind w:firstLine="709"/>
        <w:contextualSpacing w:val="1"/>
        <w:jc w:val="both"/>
        <w:rPr>
          <w:color w:val="000000"/>
        </w:rPr>
      </w:pPr>
      <w:r>
        <w:rPr>
          <w:color w:val="000000"/>
        </w:rPr>
        <w:t xml:space="preserve">доход на инвестированный капитал, сопоставимый с доходом в других отраслях  </w:t>
      </w:r>
      <w:r>
        <w:rPr>
          <w:color w:val="000000"/>
        </w:rPr>
        <w:t>со схожими рисками;</w:t>
      </w:r>
    </w:p>
    <w:p w14:paraId="65000000">
      <w:pPr>
        <w:ind w:firstLine="709"/>
        <w:contextualSpacing w:val="1"/>
        <w:jc w:val="both"/>
        <w:rPr>
          <w:color w:val="000000"/>
        </w:rPr>
      </w:pPr>
      <w:r>
        <w:rPr>
          <w:color w:val="000000"/>
        </w:rPr>
        <w:t>возврата капитала;</w:t>
      </w:r>
    </w:p>
    <w:p w14:paraId="66000000">
      <w:pPr>
        <w:ind w:firstLine="709"/>
        <w:contextualSpacing w:val="1"/>
        <w:jc w:val="both"/>
        <w:rPr>
          <w:color w:val="000000"/>
        </w:rPr>
      </w:pPr>
      <w:r>
        <w:rPr>
          <w:color w:val="000000"/>
        </w:rPr>
        <w:t>операционные расходы, устанавливаемые на долгосрочный период регулирования и индексируемые с учетом роста цен в экономике.</w:t>
      </w:r>
    </w:p>
    <w:p w14:paraId="67000000">
      <w:pPr>
        <w:ind w:firstLine="709"/>
        <w:contextualSpacing w:val="1"/>
        <w:jc w:val="both"/>
        <w:rPr>
          <w:color w:val="000000"/>
        </w:rPr>
      </w:pPr>
      <w:r>
        <w:rPr>
          <w:color w:val="000000"/>
        </w:rPr>
        <w:t>В отличие от действующей системы тарифного регулирования применение метода доходности  инвести</w:t>
      </w:r>
      <w:r>
        <w:rPr>
          <w:color w:val="000000"/>
        </w:rPr>
        <w:t>рованного капитала позволяет создать стимул для повышения эффективности и инвестиционной деятельности, в том числе на основе внедрения современных технологий, организаций.</w:t>
      </w:r>
    </w:p>
    <w:p w14:paraId="68000000">
      <w:pPr>
        <w:ind w:firstLine="709"/>
        <w:contextualSpacing w:val="1"/>
        <w:jc w:val="both"/>
        <w:rPr>
          <w:color w:val="000000"/>
        </w:rPr>
      </w:pPr>
      <w:r>
        <w:rPr>
          <w:color w:val="000000"/>
        </w:rPr>
        <w:t>Метод доходности инвестированного капитала позволяет  привлечь  частные инвестиции п</w:t>
      </w:r>
      <w:r>
        <w:rPr>
          <w:color w:val="000000"/>
        </w:rPr>
        <w:t>утем гарантии возврата инвестиций. При этом возврат инвестиций осуществляется в течение долгосрочного периода, что  значительно снижает рост тарифа на первоначальном этапе.</w:t>
      </w:r>
    </w:p>
    <w:p w14:paraId="69000000">
      <w:pPr>
        <w:ind w:firstLine="709"/>
        <w:contextualSpacing w:val="1"/>
        <w:jc w:val="both"/>
        <w:rPr>
          <w:color w:val="000000"/>
        </w:rPr>
      </w:pPr>
      <w:r>
        <w:rPr>
          <w:color w:val="000000"/>
        </w:rPr>
        <w:t xml:space="preserve">Вместе с тем при переходе на метод доходности инвестиционного капитала будет нести </w:t>
      </w:r>
      <w:r>
        <w:rPr>
          <w:color w:val="000000"/>
        </w:rPr>
        <w:t xml:space="preserve"> ответственность за реализацию инвестиционной  программы, обязательства по сокращению операционных расходов и потерь,  рост надежности и качества услуг.</w:t>
      </w:r>
    </w:p>
    <w:p w14:paraId="6A000000">
      <w:pPr>
        <w:ind w:firstLine="709"/>
        <w:contextualSpacing w:val="1"/>
        <w:jc w:val="both"/>
        <w:rPr>
          <w:color w:val="000000"/>
        </w:rPr>
      </w:pPr>
      <w:r>
        <w:rPr>
          <w:color w:val="000000"/>
        </w:rPr>
        <w:t>Концессионные соглашения являются наиболее эффективной формой привлечения частных инвестиций в сектор в</w:t>
      </w:r>
      <w:r>
        <w:rPr>
          <w:color w:val="000000"/>
        </w:rPr>
        <w:t xml:space="preserve">одоснабжения, </w:t>
      </w:r>
      <w:r>
        <w:rPr>
          <w:color w:val="000000"/>
        </w:rPr>
        <w:t>водоотведения</w:t>
      </w:r>
      <w:r>
        <w:rPr>
          <w:color w:val="000000"/>
        </w:rPr>
        <w:t xml:space="preserve">  поскольку обеспечивают четкие гарантии возврата инвестиционных средств.</w:t>
      </w:r>
    </w:p>
    <w:p w14:paraId="6B000000">
      <w:pPr>
        <w:ind w:firstLine="709"/>
        <w:contextualSpacing w:val="1"/>
        <w:jc w:val="both"/>
        <w:rPr>
          <w:color w:val="000000"/>
        </w:rPr>
      </w:pPr>
      <w:r>
        <w:rPr>
          <w:color w:val="000000"/>
        </w:rPr>
        <w:t>С целью активизации процессов по развитию систем водоснабжения, водоотведения в  сельских населенных пунктах с небольшой численностью населения и неблагопр</w:t>
      </w:r>
      <w:r>
        <w:rPr>
          <w:color w:val="000000"/>
        </w:rPr>
        <w:t>иятным состоянием поверхностных и подземных источников питьевого водоснабжения необходимо предоставление государственной финансовой  поддержки для реализации мероприятий по развитию систем водоснабжения, водоотведения и доставки воды населению.</w:t>
      </w:r>
    </w:p>
    <w:p w14:paraId="6C000000">
      <w:pPr>
        <w:ind w:firstLine="709"/>
        <w:contextualSpacing w:val="1"/>
        <w:jc w:val="both"/>
        <w:rPr>
          <w:color w:val="000000"/>
        </w:rPr>
      </w:pPr>
      <w:r>
        <w:rPr>
          <w:color w:val="000000"/>
        </w:rPr>
        <w:t>Для включен</w:t>
      </w:r>
      <w:r>
        <w:rPr>
          <w:color w:val="000000"/>
        </w:rPr>
        <w:t>ия в Программу нам необходимо реализовать следующие мероприятия:</w:t>
      </w:r>
    </w:p>
    <w:p w14:paraId="6D000000">
      <w:pPr>
        <w:ind w:firstLine="709"/>
        <w:contextualSpacing w:val="1"/>
        <w:jc w:val="both"/>
        <w:rPr>
          <w:color w:val="000000"/>
        </w:rPr>
      </w:pPr>
      <w:r>
        <w:rPr>
          <w:color w:val="000000"/>
        </w:rPr>
        <w:t>- приобретение специализированной техники для водоснабжения населения.</w:t>
      </w:r>
    </w:p>
    <w:p w14:paraId="6E000000">
      <w:pPr>
        <w:ind/>
        <w:contextualSpacing w:val="1"/>
        <w:jc w:val="center"/>
        <w:rPr>
          <w:color w:val="000000"/>
        </w:rPr>
      </w:pPr>
    </w:p>
    <w:p w14:paraId="6F000000">
      <w:pPr>
        <w:ind/>
        <w:contextualSpacing w:val="1"/>
        <w:jc w:val="center"/>
        <w:rPr>
          <w:color w:val="000000"/>
        </w:rPr>
      </w:pPr>
      <w:r>
        <w:rPr>
          <w:color w:val="000000"/>
        </w:rPr>
        <w:t>РАЗДЕЛ 4.РЕСУРСНОЕ ОБЕСПЕЧЕНИЕ ПРОГРАММЫ</w:t>
      </w:r>
    </w:p>
    <w:p w14:paraId="70000000">
      <w:pPr>
        <w:ind w:firstLine="709"/>
        <w:contextualSpacing w:val="1"/>
        <w:jc w:val="both"/>
        <w:rPr>
          <w:color w:val="000000"/>
        </w:rPr>
      </w:pPr>
      <w:r>
        <w:rPr>
          <w:color w:val="000000"/>
        </w:rPr>
        <w:t xml:space="preserve">Планируемый объем финансирования Программы за счет всех источников  составит </w:t>
      </w:r>
      <w:r>
        <w:rPr>
          <w:color w:val="000000"/>
        </w:rPr>
        <w:t>– в 2023 году – 0 рублей, в 2024 году - 8366,7 тыс. руб., в том числе за счет средств областного бюджета – 8283,0 тыс. руб., предполагаемые за счет средств местных бюджетов – 83,7 тыс. руб.</w:t>
      </w:r>
    </w:p>
    <w:p w14:paraId="71000000">
      <w:pPr>
        <w:ind w:firstLine="709"/>
        <w:contextualSpacing w:val="1"/>
        <w:jc w:val="both"/>
        <w:rPr>
          <w:color w:val="000000"/>
        </w:rPr>
      </w:pPr>
      <w:r>
        <w:rPr>
          <w:color w:val="000000"/>
        </w:rPr>
        <w:t xml:space="preserve">Объемы финансирования мероприятий Программы  ежегодно  уточняются </w:t>
      </w:r>
      <w:r>
        <w:rPr>
          <w:color w:val="000000"/>
        </w:rPr>
        <w:t>при формировании местного бюджета на соответствующий финансовый год исходя из возможностей местного бюджета и затрат, необходимых для реализации Программы.</w:t>
      </w:r>
    </w:p>
    <w:p w14:paraId="72000000">
      <w:pPr>
        <w:ind/>
        <w:contextualSpacing w:val="1"/>
        <w:jc w:val="center"/>
        <w:rPr>
          <w:color w:val="000000"/>
        </w:rPr>
      </w:pPr>
    </w:p>
    <w:p w14:paraId="73000000">
      <w:pPr>
        <w:ind/>
        <w:contextualSpacing w:val="1"/>
        <w:jc w:val="center"/>
        <w:rPr>
          <w:color w:val="000000"/>
        </w:rPr>
      </w:pPr>
      <w:r>
        <w:rPr>
          <w:color w:val="000000"/>
        </w:rPr>
        <w:t xml:space="preserve">РАЗДЕЛ 5.МЕХАНИЗМ РЕАЛИЗАЦИИ ПРОГРАММЫ И </w:t>
      </w:r>
      <w:r>
        <w:rPr>
          <w:color w:val="000000"/>
        </w:rPr>
        <w:t>КОНТРОЛЬ ЗА</w:t>
      </w:r>
      <w:r>
        <w:rPr>
          <w:color w:val="000000"/>
        </w:rPr>
        <w:t xml:space="preserve"> ХОДОМ ЕЁ РЕАЛИЗАЦИИ</w:t>
      </w:r>
    </w:p>
    <w:p w14:paraId="74000000">
      <w:pPr>
        <w:ind w:firstLine="709"/>
        <w:contextualSpacing w:val="1"/>
        <w:jc w:val="both"/>
        <w:rPr>
          <w:color w:val="000000"/>
        </w:rPr>
      </w:pPr>
      <w:r>
        <w:rPr>
          <w:color w:val="000000"/>
        </w:rPr>
        <w:t>Администратором Программы</w:t>
      </w:r>
      <w:r>
        <w:rPr>
          <w:color w:val="000000"/>
        </w:rPr>
        <w:t xml:space="preserve"> является администрация муниципального образования «Первомайское».</w:t>
      </w:r>
    </w:p>
    <w:p w14:paraId="75000000">
      <w:pPr>
        <w:ind w:firstLine="709"/>
        <w:contextualSpacing w:val="1"/>
        <w:jc w:val="both"/>
        <w:rPr>
          <w:color w:val="000000"/>
        </w:rPr>
      </w:pPr>
      <w:r>
        <w:rPr>
          <w:color w:val="000000"/>
        </w:rPr>
        <w:t>Администратор Программы:</w:t>
      </w:r>
    </w:p>
    <w:p w14:paraId="76000000">
      <w:pPr>
        <w:ind w:firstLine="709"/>
        <w:contextualSpacing w:val="1"/>
        <w:jc w:val="both"/>
        <w:rPr>
          <w:color w:val="000000"/>
        </w:rPr>
      </w:pPr>
      <w:r>
        <w:rPr>
          <w:color w:val="000000"/>
        </w:rPr>
        <w:t>1) формирует бюджетные заявки и обоснования на включение мероприятий Программы в местный бюджет на соответствующий финансовый год;</w:t>
      </w:r>
    </w:p>
    <w:p w14:paraId="77000000">
      <w:pPr>
        <w:ind w:firstLine="709"/>
        <w:contextualSpacing w:val="1"/>
        <w:jc w:val="both"/>
        <w:rPr>
          <w:color w:val="000000"/>
        </w:rPr>
      </w:pPr>
      <w:r>
        <w:rPr>
          <w:color w:val="000000"/>
        </w:rPr>
        <w:t>2) заключает соглашение о предост</w:t>
      </w:r>
      <w:r>
        <w:rPr>
          <w:color w:val="000000"/>
        </w:rPr>
        <w:t xml:space="preserve">авлении субсидий из областного бюджета  бюджетам  муниципальных образований Иркутской области в целях </w:t>
      </w:r>
      <w:r>
        <w:rPr>
          <w:color w:val="000000"/>
        </w:rPr>
        <w:t>софинансирования</w:t>
      </w:r>
      <w:r>
        <w:rPr>
          <w:color w:val="000000"/>
        </w:rPr>
        <w:t xml:space="preserve"> мероприятий по приобретение специальной техники   для водоснабжения населения с Министерством жилищной политики и энергетики Иркутской об</w:t>
      </w:r>
      <w:r>
        <w:rPr>
          <w:color w:val="000000"/>
        </w:rPr>
        <w:t>ласти, участвующими в финансировании Программы;</w:t>
      </w:r>
    </w:p>
    <w:p w14:paraId="78000000">
      <w:pPr>
        <w:ind w:firstLine="709"/>
        <w:contextualSpacing w:val="1"/>
        <w:jc w:val="both"/>
        <w:rPr>
          <w:color w:val="000000"/>
        </w:rPr>
      </w:pPr>
      <w:r>
        <w:rPr>
          <w:color w:val="000000"/>
        </w:rPr>
        <w:t>3) разрабатывает перечень и  ежегодно при необходимости корректирует плановые значения целевых индикаторов и показателей результативности для мониторинга и ежегодной оценки эффективности реализации Программы;</w:t>
      </w:r>
    </w:p>
    <w:p w14:paraId="79000000">
      <w:pPr>
        <w:ind w:firstLine="709"/>
        <w:contextualSpacing w:val="1"/>
        <w:jc w:val="both"/>
        <w:rPr>
          <w:color w:val="000000"/>
        </w:rPr>
      </w:pPr>
      <w:r>
        <w:rPr>
          <w:color w:val="000000"/>
        </w:rPr>
        <w:t>4) готовит ежегодно в установленном порядке предложения по уточнению перечня мероприятий Программы на соответствующий  финансовый год, предложения по реализации Программы.</w:t>
      </w:r>
    </w:p>
    <w:p w14:paraId="7A000000">
      <w:pPr>
        <w:ind w:firstLine="709"/>
        <w:contextualSpacing w:val="1"/>
        <w:jc w:val="both"/>
        <w:rPr>
          <w:color w:val="000000"/>
        </w:rPr>
      </w:pPr>
      <w:r>
        <w:rPr>
          <w:color w:val="000000"/>
        </w:rPr>
        <w:t>5) несет ответственность за обеспечение своевременной и качественной реализации мер</w:t>
      </w:r>
      <w:r>
        <w:rPr>
          <w:color w:val="000000"/>
        </w:rPr>
        <w:t>оприятий Программы, за эффективное  использование средств, выделяемых на ее реализацию;</w:t>
      </w:r>
    </w:p>
    <w:p w14:paraId="7B000000">
      <w:pPr>
        <w:ind w:firstLine="709"/>
        <w:contextualSpacing w:val="1"/>
        <w:jc w:val="both"/>
        <w:rPr>
          <w:color w:val="000000"/>
        </w:rPr>
      </w:pPr>
      <w:r>
        <w:rPr>
          <w:color w:val="000000"/>
        </w:rPr>
        <w:t>6) организует размещение в электронном виде информации Программы на официальном сайте Министерства жилищной политики и энергетики Иркутской области.</w:t>
      </w:r>
    </w:p>
    <w:p w14:paraId="7C000000">
      <w:pPr>
        <w:ind w:firstLine="709"/>
        <w:contextualSpacing w:val="1"/>
        <w:jc w:val="both"/>
        <w:rPr>
          <w:color w:val="000000"/>
        </w:rPr>
      </w:pPr>
      <w:r>
        <w:rPr>
          <w:color w:val="000000"/>
        </w:rPr>
        <w:t>Форма соглашения, с</w:t>
      </w:r>
      <w:r>
        <w:rPr>
          <w:color w:val="000000"/>
        </w:rPr>
        <w:t>роки и порядок предоставления отчетности о выполнении муниципальным образованием  обязательств, предусмотренных соглашением, утверждаются Министерством жилищной политики и энергетики Иркутской области.</w:t>
      </w:r>
    </w:p>
    <w:p w14:paraId="7D000000">
      <w:pPr>
        <w:ind w:firstLine="709"/>
        <w:contextualSpacing w:val="1"/>
        <w:jc w:val="both"/>
        <w:rPr>
          <w:color w:val="000000"/>
        </w:rPr>
      </w:pPr>
      <w:r>
        <w:rPr>
          <w:color w:val="000000"/>
        </w:rPr>
        <w:t>Контроль за</w:t>
      </w:r>
      <w:r>
        <w:rPr>
          <w:color w:val="000000"/>
        </w:rPr>
        <w:t xml:space="preserve"> целевым использованием бюджетных средств </w:t>
      </w:r>
      <w:r>
        <w:rPr>
          <w:color w:val="000000"/>
        </w:rPr>
        <w:t>осуществляется в соответствии с бюджетным законодательством.</w:t>
      </w:r>
    </w:p>
    <w:p w14:paraId="7E000000">
      <w:pPr>
        <w:ind w:firstLine="709"/>
        <w:contextualSpacing w:val="1"/>
        <w:jc w:val="both"/>
        <w:rPr>
          <w:color w:val="000000"/>
        </w:rPr>
      </w:pPr>
      <w:r>
        <w:rPr>
          <w:color w:val="000000"/>
        </w:rPr>
        <w:t>Контроль за</w:t>
      </w:r>
      <w:r>
        <w:rPr>
          <w:color w:val="000000"/>
        </w:rPr>
        <w:t xml:space="preserve"> исполнением Программы осуществляют  уполномоченные органы государственной власти Иркутской области и Администрация муниципального образования «Первомайское» в пределах своих компетенц</w:t>
      </w:r>
      <w:r>
        <w:rPr>
          <w:color w:val="000000"/>
        </w:rPr>
        <w:t>ий в установленном порядке.</w:t>
      </w:r>
    </w:p>
    <w:p w14:paraId="7F000000">
      <w:pPr>
        <w:ind/>
        <w:contextualSpacing w:val="1"/>
        <w:jc w:val="both"/>
        <w:rPr>
          <w:color w:val="000000"/>
        </w:rPr>
      </w:pPr>
    </w:p>
    <w:p w14:paraId="80000000">
      <w:pPr>
        <w:ind/>
        <w:contextualSpacing w:val="1"/>
        <w:jc w:val="center"/>
        <w:rPr>
          <w:color w:val="000000"/>
        </w:rPr>
      </w:pPr>
      <w:r>
        <w:rPr>
          <w:color w:val="000000"/>
        </w:rPr>
        <w:t>РАЗДЕЛ 6.ОЦЕНКА ЭФФЕКТИВНОСТИ РЕАЛИЗАЦИИ ПРОГРАММЫ</w:t>
      </w:r>
    </w:p>
    <w:p w14:paraId="81000000">
      <w:pPr>
        <w:ind w:firstLine="709"/>
        <w:contextualSpacing w:val="1"/>
        <w:jc w:val="both"/>
        <w:rPr>
          <w:color w:val="000000"/>
        </w:rPr>
      </w:pPr>
      <w:r>
        <w:rPr>
          <w:color w:val="000000"/>
        </w:rPr>
        <w:t xml:space="preserve">Эффективность реализации Программы и </w:t>
      </w:r>
      <w:r>
        <w:rPr>
          <w:color w:val="000000"/>
        </w:rPr>
        <w:t>использования</w:t>
      </w:r>
      <w:r>
        <w:rPr>
          <w:color w:val="000000"/>
        </w:rPr>
        <w:t xml:space="preserve"> выделенных с этой целью средств областного бюджета обеспечивается за счет:</w:t>
      </w:r>
    </w:p>
    <w:p w14:paraId="82000000">
      <w:pPr>
        <w:ind w:firstLine="709"/>
        <w:contextualSpacing w:val="1"/>
        <w:jc w:val="both"/>
        <w:rPr>
          <w:color w:val="000000"/>
        </w:rPr>
      </w:pPr>
      <w:r>
        <w:rPr>
          <w:color w:val="000000"/>
        </w:rPr>
        <w:t>1) исключения возможности нецелевого использовани</w:t>
      </w:r>
      <w:r>
        <w:rPr>
          <w:color w:val="000000"/>
        </w:rPr>
        <w:t>я бюджетных средств;</w:t>
      </w:r>
    </w:p>
    <w:p w14:paraId="83000000">
      <w:pPr>
        <w:ind w:firstLine="709"/>
        <w:contextualSpacing w:val="1"/>
        <w:jc w:val="both"/>
        <w:rPr>
          <w:color w:val="000000"/>
        </w:rPr>
      </w:pPr>
      <w:r>
        <w:rPr>
          <w:color w:val="000000"/>
        </w:rPr>
        <w:t>2) прозрачности прохождения средств областного и местного бюджета.</w:t>
      </w:r>
    </w:p>
    <w:p w14:paraId="84000000">
      <w:pPr>
        <w:ind w:firstLine="709"/>
        <w:contextualSpacing w:val="1"/>
        <w:jc w:val="both"/>
        <w:rPr>
          <w:color w:val="000000"/>
        </w:rPr>
      </w:pPr>
      <w:r>
        <w:rPr>
          <w:color w:val="000000"/>
        </w:rPr>
        <w:t>3) реализация мероприятия с участием средств местного бюджета и возможности привлечения внебюджетных средств.</w:t>
      </w:r>
    </w:p>
    <w:p w14:paraId="85000000">
      <w:pPr>
        <w:ind w:firstLine="709"/>
        <w:contextualSpacing w:val="1"/>
        <w:jc w:val="both"/>
        <w:rPr>
          <w:color w:val="000000"/>
        </w:rPr>
      </w:pPr>
      <w:r>
        <w:rPr>
          <w:color w:val="000000"/>
        </w:rPr>
        <w:t>Ожидается, что в результате реализации Программы будут дос</w:t>
      </w:r>
      <w:r>
        <w:rPr>
          <w:color w:val="000000"/>
        </w:rPr>
        <w:t xml:space="preserve">тигнуты рост (до 100 % от общей численности населения) обеспеченности населения и учреждений социальной инфраструктуры муниципального образования «Первомайское» питьевой водой, соответствующей гигиеническим нормативам, и доступ к централизованным системам </w:t>
      </w:r>
      <w:r>
        <w:rPr>
          <w:color w:val="000000"/>
        </w:rPr>
        <w:t>водоснабжения, что приведет к повышению качества жизни граждан, снижению заболеваемости, связанной с распространением кишечных инфекций и антропогенным воздействием биологических и химических загрязнений.</w:t>
      </w:r>
    </w:p>
    <w:p w14:paraId="86000000">
      <w:pPr>
        <w:ind w:firstLine="709"/>
        <w:contextualSpacing w:val="1"/>
        <w:jc w:val="both"/>
        <w:rPr>
          <w:color w:val="000000"/>
        </w:rPr>
      </w:pPr>
    </w:p>
    <w:p w14:paraId="87000000">
      <w:pPr>
        <w:sectPr>
          <w:pgSz w:h="16838" w:orient="portrait" w:w="11906"/>
          <w:pgMar w:bottom="851" w:footer="709" w:gutter="0" w:header="709" w:left="1418" w:right="567" w:top="709"/>
        </w:sectPr>
      </w:pPr>
    </w:p>
    <w:p w14:paraId="88000000">
      <w:pPr>
        <w:ind/>
        <w:jc w:val="right"/>
        <w:rPr>
          <w:b w:val="1"/>
        </w:rPr>
      </w:pPr>
      <w:r>
        <w:rPr>
          <w:b w:val="1"/>
        </w:rPr>
        <w:t>Приложение 1</w:t>
      </w:r>
    </w:p>
    <w:p w14:paraId="89000000">
      <w:pPr>
        <w:ind/>
        <w:jc w:val="right"/>
      </w:pPr>
      <w:r>
        <w:t xml:space="preserve">к программе "Чистая вода" </w:t>
      </w:r>
      <w:r>
        <w:t xml:space="preserve">в муниципальном образовании </w:t>
      </w:r>
      <w:r>
        <w:t xml:space="preserve"> «Первомайское» </w:t>
      </w:r>
    </w:p>
    <w:p w14:paraId="8A000000">
      <w:pPr>
        <w:ind/>
        <w:jc w:val="right"/>
      </w:pPr>
      <w:r>
        <w:t>на 202</w:t>
      </w:r>
      <w:r>
        <w:t>3</w:t>
      </w:r>
      <w:r>
        <w:t>-202</w:t>
      </w:r>
      <w:r>
        <w:t>4</w:t>
      </w:r>
      <w:r>
        <w:t xml:space="preserve"> годы</w:t>
      </w:r>
    </w:p>
    <w:p w14:paraId="8B000000">
      <w:pPr>
        <w:ind/>
        <w:jc w:val="center"/>
        <w:rPr>
          <w:b w:val="1"/>
        </w:rPr>
      </w:pPr>
    </w:p>
    <w:p w14:paraId="8C000000">
      <w:pPr>
        <w:ind/>
        <w:jc w:val="center"/>
        <w:rPr>
          <w:b w:val="1"/>
        </w:rPr>
      </w:pPr>
      <w:r>
        <w:rPr>
          <w:b w:val="1"/>
        </w:rPr>
        <w:t xml:space="preserve">Перечень основных мероприятий по </w:t>
      </w:r>
      <w:r>
        <w:rPr>
          <w:b w:val="1"/>
        </w:rPr>
        <w:t>приобретению специализированной техники для водоснабжения населения</w:t>
      </w:r>
    </w:p>
    <w:p w14:paraId="8D000000">
      <w:pPr>
        <w:ind/>
        <w:jc w:val="center"/>
        <w:rPr>
          <w:b w:val="1"/>
        </w:rPr>
      </w:pPr>
      <w:r>
        <w:rPr>
          <w:b w:val="1"/>
        </w:rPr>
        <w:t>Прогнозная (справочная) оценка ресурсного обеспечения.</w:t>
      </w:r>
    </w:p>
    <w:p w14:paraId="8E000000">
      <w:pPr>
        <w:ind/>
        <w:jc w:val="center"/>
        <w:rPr>
          <w:b w:val="1"/>
        </w:rPr>
      </w:pPr>
    </w:p>
    <w:tbl>
      <w:tblPr>
        <w:tblStyle w:val="Style_7"/>
        <w:tblInd w:type="dxa" w:w="-3119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5884"/>
        <w:gridCol w:w="1407"/>
        <w:gridCol w:w="1695"/>
        <w:gridCol w:w="1983"/>
        <w:gridCol w:w="1838"/>
        <w:gridCol w:w="1826"/>
      </w:tblGrid>
      <w:tr>
        <w:tc>
          <w:tcPr>
            <w:tcW w:type="dxa" w:w="5884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49"/>
              <w:bottom w:type="dxa" w:w="15"/>
              <w:right w:type="dxa" w:w="149"/>
            </w:tcMar>
            <w:vAlign w:val="center"/>
          </w:tcPr>
          <w:p w14:paraId="8F000000">
            <w:pPr>
              <w:ind/>
              <w:jc w:val="center"/>
            </w:pPr>
            <w:r>
              <w:t>Мероприятие</w:t>
            </w:r>
          </w:p>
        </w:tc>
        <w:tc>
          <w:tcPr>
            <w:tcW w:type="dxa" w:w="1407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49"/>
              <w:bottom w:type="dxa" w:w="15"/>
              <w:right w:type="dxa" w:w="149"/>
            </w:tcMar>
            <w:vAlign w:val="center"/>
          </w:tcPr>
          <w:p w14:paraId="90000000">
            <w:pPr>
              <w:ind/>
              <w:jc w:val="center"/>
            </w:pPr>
            <w:r>
              <w:t>Срок исполнения, год</w:t>
            </w:r>
          </w:p>
        </w:tc>
        <w:tc>
          <w:tcPr>
            <w:tcW w:type="dxa" w:w="7342"/>
            <w:gridSpan w:val="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49"/>
              <w:bottom w:type="dxa" w:w="15"/>
              <w:right w:type="dxa" w:w="149"/>
            </w:tcMar>
            <w:vAlign w:val="center"/>
          </w:tcPr>
          <w:p w14:paraId="91000000">
            <w:pPr>
              <w:ind/>
              <w:jc w:val="center"/>
            </w:pPr>
            <w:r>
              <w:t>Объем финансирования, тыс. руб.</w:t>
            </w:r>
          </w:p>
        </w:tc>
      </w:tr>
      <w:tr>
        <w:tc>
          <w:tcPr>
            <w:tcW w:type="dxa" w:w="5884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49"/>
              <w:bottom w:type="dxa" w:w="15"/>
              <w:right w:type="dxa" w:w="149"/>
            </w:tcMar>
            <w:vAlign w:val="center"/>
          </w:tcPr>
          <w:p/>
        </w:tc>
        <w:tc>
          <w:tcPr>
            <w:tcW w:type="dxa" w:w="1407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49"/>
              <w:bottom w:type="dxa" w:w="15"/>
              <w:right w:type="dxa" w:w="149"/>
            </w:tcMar>
            <w:vAlign w:val="center"/>
          </w:tcPr>
          <w:p/>
        </w:tc>
        <w:tc>
          <w:tcPr>
            <w:tcW w:type="dxa" w:w="1695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49"/>
              <w:bottom w:type="dxa" w:w="15"/>
              <w:right w:type="dxa" w:w="149"/>
            </w:tcMar>
            <w:vAlign w:val="center"/>
          </w:tcPr>
          <w:p w14:paraId="92000000">
            <w:pPr>
              <w:ind/>
              <w:jc w:val="center"/>
            </w:pPr>
            <w:r>
              <w:t>Всего</w:t>
            </w:r>
          </w:p>
        </w:tc>
        <w:tc>
          <w:tcPr>
            <w:tcW w:type="dxa" w:w="5647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49"/>
              <w:bottom w:type="dxa" w:w="15"/>
              <w:right w:type="dxa" w:w="149"/>
            </w:tcMar>
            <w:vAlign w:val="center"/>
          </w:tcPr>
          <w:p w14:paraId="93000000">
            <w:pPr>
              <w:ind/>
              <w:jc w:val="center"/>
            </w:pPr>
            <w:r>
              <w:t>Из них:</w:t>
            </w:r>
          </w:p>
        </w:tc>
      </w:tr>
      <w:tr>
        <w:tc>
          <w:tcPr>
            <w:tcW w:type="dxa" w:w="5884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49"/>
              <w:bottom w:type="dxa" w:w="15"/>
              <w:right w:type="dxa" w:w="149"/>
            </w:tcMar>
            <w:vAlign w:val="center"/>
          </w:tcPr>
          <w:p/>
        </w:tc>
        <w:tc>
          <w:tcPr>
            <w:tcW w:type="dxa" w:w="1407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49"/>
              <w:bottom w:type="dxa" w:w="15"/>
              <w:right w:type="dxa" w:w="149"/>
            </w:tcMar>
            <w:vAlign w:val="center"/>
          </w:tcPr>
          <w:p/>
        </w:tc>
        <w:tc>
          <w:tcPr>
            <w:tcW w:type="dxa" w:w="1695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49"/>
              <w:bottom w:type="dxa" w:w="15"/>
              <w:right w:type="dxa" w:w="149"/>
            </w:tcMar>
            <w:vAlign w:val="center"/>
          </w:tcPr>
          <w:p/>
        </w:tc>
        <w:tc>
          <w:tcPr>
            <w:tcW w:type="dxa" w:w="198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49"/>
              <w:bottom w:type="dxa" w:w="15"/>
              <w:right w:type="dxa" w:w="149"/>
            </w:tcMar>
            <w:vAlign w:val="center"/>
          </w:tcPr>
          <w:p w14:paraId="94000000">
            <w:pPr>
              <w:ind/>
              <w:jc w:val="center"/>
            </w:pPr>
            <w:r>
              <w:t>Средства федерального бюджета</w:t>
            </w:r>
          </w:p>
        </w:tc>
        <w:tc>
          <w:tcPr>
            <w:tcW w:type="dxa" w:w="183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49"/>
              <w:bottom w:type="dxa" w:w="15"/>
              <w:right w:type="dxa" w:w="149"/>
            </w:tcMar>
            <w:vAlign w:val="center"/>
          </w:tcPr>
          <w:p w14:paraId="95000000">
            <w:pPr>
              <w:ind/>
              <w:jc w:val="center"/>
            </w:pPr>
            <w:r>
              <w:t>Средства областного бюджета</w:t>
            </w:r>
          </w:p>
        </w:tc>
        <w:tc>
          <w:tcPr>
            <w:tcW w:type="dxa" w:w="18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49"/>
              <w:bottom w:type="dxa" w:w="15"/>
              <w:right w:type="dxa" w:w="149"/>
            </w:tcMar>
            <w:vAlign w:val="center"/>
          </w:tcPr>
          <w:p w14:paraId="96000000">
            <w:pPr>
              <w:ind/>
              <w:jc w:val="center"/>
            </w:pPr>
            <w:r>
              <w:t>Средства местного бюджета</w:t>
            </w:r>
          </w:p>
        </w:tc>
      </w:tr>
      <w:tr>
        <w:tc>
          <w:tcPr>
            <w:tcW w:type="dxa" w:w="14633"/>
            <w:gridSpan w:val="6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49"/>
              <w:bottom w:type="dxa" w:w="15"/>
              <w:right w:type="dxa" w:w="149"/>
            </w:tcMar>
            <w:vAlign w:val="center"/>
          </w:tcPr>
          <w:p w14:paraId="97000000">
            <w:pPr>
              <w:ind/>
              <w:jc w:val="center"/>
            </w:pPr>
            <w:r>
              <w:t>Основное мероприятие «Развитие и модернизация объектов водоснабжения»</w:t>
            </w:r>
          </w:p>
        </w:tc>
      </w:tr>
      <w:tr>
        <w:tc>
          <w:tcPr>
            <w:tcW w:type="dxa" w:w="58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49"/>
              <w:bottom w:type="dxa" w:w="15"/>
              <w:right w:type="dxa" w:w="149"/>
            </w:tcMar>
            <w:vAlign w:val="center"/>
          </w:tcPr>
          <w:p w14:paraId="98000000">
            <w:pPr>
              <w:ind/>
              <w:jc w:val="center"/>
            </w:pPr>
            <w:r>
              <w:t>Приобретение специализированной техники для водоснабжения населения</w:t>
            </w:r>
          </w:p>
        </w:tc>
        <w:tc>
          <w:tcPr>
            <w:tcW w:type="dxa" w:w="14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49"/>
              <w:bottom w:type="dxa" w:w="15"/>
              <w:right w:type="dxa" w:w="149"/>
            </w:tcMar>
            <w:vAlign w:val="center"/>
          </w:tcPr>
          <w:p w14:paraId="99000000">
            <w:pPr>
              <w:ind/>
              <w:jc w:val="center"/>
            </w:pPr>
            <w:r>
              <w:t>2023</w:t>
            </w:r>
          </w:p>
        </w:tc>
        <w:tc>
          <w:tcPr>
            <w:tcW w:type="dxa" w:w="169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49"/>
              <w:bottom w:type="dxa" w:w="15"/>
              <w:right w:type="dxa" w:w="149"/>
            </w:tcMar>
            <w:vAlign w:val="center"/>
          </w:tcPr>
          <w:p w14:paraId="9A000000">
            <w:pPr>
              <w:ind/>
              <w:jc w:val="center"/>
            </w:pPr>
            <w:r>
              <w:t>0</w:t>
            </w:r>
          </w:p>
        </w:tc>
        <w:tc>
          <w:tcPr>
            <w:tcW w:type="dxa" w:w="198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49"/>
              <w:bottom w:type="dxa" w:w="15"/>
              <w:right w:type="dxa" w:w="149"/>
            </w:tcMar>
            <w:vAlign w:val="center"/>
          </w:tcPr>
          <w:p w14:paraId="9B000000">
            <w:pPr>
              <w:ind/>
              <w:jc w:val="center"/>
            </w:pPr>
            <w:r>
              <w:t>0</w:t>
            </w:r>
          </w:p>
        </w:tc>
        <w:tc>
          <w:tcPr>
            <w:tcW w:type="dxa" w:w="183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49"/>
              <w:bottom w:type="dxa" w:w="15"/>
              <w:right w:type="dxa" w:w="149"/>
            </w:tcMar>
            <w:vAlign w:val="center"/>
          </w:tcPr>
          <w:p w14:paraId="9C000000">
            <w:pPr>
              <w:ind/>
              <w:jc w:val="center"/>
            </w:pPr>
            <w:r>
              <w:t>0</w:t>
            </w:r>
          </w:p>
        </w:tc>
        <w:tc>
          <w:tcPr>
            <w:tcW w:type="dxa" w:w="18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49"/>
              <w:bottom w:type="dxa" w:w="15"/>
              <w:right w:type="dxa" w:w="149"/>
            </w:tcMar>
            <w:vAlign w:val="center"/>
          </w:tcPr>
          <w:p w14:paraId="9D000000">
            <w:pPr>
              <w:ind/>
              <w:jc w:val="center"/>
            </w:pPr>
            <w:r>
              <w:t>0</w:t>
            </w:r>
          </w:p>
        </w:tc>
      </w:tr>
      <w:tr>
        <w:tc>
          <w:tcPr>
            <w:tcW w:type="dxa" w:w="58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49"/>
              <w:bottom w:type="dxa" w:w="15"/>
              <w:right w:type="dxa" w:w="149"/>
            </w:tcMar>
            <w:vAlign w:val="center"/>
          </w:tcPr>
          <w:p w14:paraId="9E000000">
            <w:pPr>
              <w:ind/>
              <w:jc w:val="center"/>
            </w:pPr>
          </w:p>
        </w:tc>
        <w:tc>
          <w:tcPr>
            <w:tcW w:type="dxa" w:w="14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49"/>
              <w:bottom w:type="dxa" w:w="15"/>
              <w:right w:type="dxa" w:w="149"/>
            </w:tcMar>
            <w:vAlign w:val="center"/>
          </w:tcPr>
          <w:p w14:paraId="9F000000">
            <w:pPr>
              <w:ind/>
              <w:jc w:val="center"/>
            </w:pPr>
            <w:r>
              <w:t>2024</w:t>
            </w:r>
          </w:p>
        </w:tc>
        <w:tc>
          <w:tcPr>
            <w:tcW w:type="dxa" w:w="169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49"/>
              <w:bottom w:type="dxa" w:w="15"/>
              <w:right w:type="dxa" w:w="149"/>
            </w:tcMar>
            <w:vAlign w:val="center"/>
          </w:tcPr>
          <w:p w14:paraId="A0000000">
            <w:pPr>
              <w:ind/>
              <w:jc w:val="center"/>
            </w:pPr>
            <w:r>
              <w:t>8366,7</w:t>
            </w:r>
          </w:p>
        </w:tc>
        <w:tc>
          <w:tcPr>
            <w:tcW w:type="dxa" w:w="198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49"/>
              <w:bottom w:type="dxa" w:w="15"/>
              <w:right w:type="dxa" w:w="149"/>
            </w:tcMar>
            <w:vAlign w:val="center"/>
          </w:tcPr>
          <w:p w14:paraId="A1000000">
            <w:pPr>
              <w:ind/>
              <w:jc w:val="center"/>
            </w:pPr>
            <w:r>
              <w:t>0</w:t>
            </w:r>
          </w:p>
        </w:tc>
        <w:tc>
          <w:tcPr>
            <w:tcW w:type="dxa" w:w="183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49"/>
              <w:bottom w:type="dxa" w:w="15"/>
              <w:right w:type="dxa" w:w="149"/>
            </w:tcMar>
            <w:vAlign w:val="center"/>
          </w:tcPr>
          <w:p w14:paraId="A2000000">
            <w:pPr>
              <w:ind/>
              <w:jc w:val="center"/>
            </w:pPr>
            <w:r>
              <w:t>8283,0</w:t>
            </w:r>
          </w:p>
        </w:tc>
        <w:tc>
          <w:tcPr>
            <w:tcW w:type="dxa" w:w="18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49"/>
              <w:bottom w:type="dxa" w:w="15"/>
              <w:right w:type="dxa" w:w="149"/>
            </w:tcMar>
            <w:vAlign w:val="center"/>
          </w:tcPr>
          <w:p w14:paraId="A3000000">
            <w:pPr>
              <w:ind/>
              <w:jc w:val="center"/>
            </w:pPr>
            <w:r>
              <w:t>83,7</w:t>
            </w:r>
          </w:p>
        </w:tc>
      </w:tr>
      <w:tr>
        <w:tc>
          <w:tcPr>
            <w:tcW w:type="dxa" w:w="58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49"/>
              <w:bottom w:type="dxa" w:w="15"/>
              <w:right w:type="dxa" w:w="149"/>
            </w:tcMar>
            <w:vAlign w:val="center"/>
          </w:tcPr>
          <w:p w14:paraId="A4000000">
            <w:pPr>
              <w:ind/>
              <w:jc w:val="right"/>
              <w:rPr>
                <w:b w:val="1"/>
              </w:rPr>
            </w:pPr>
            <w:r>
              <w:rPr>
                <w:b w:val="1"/>
              </w:rPr>
              <w:t>ИТОГО:</w:t>
            </w:r>
          </w:p>
        </w:tc>
        <w:tc>
          <w:tcPr>
            <w:tcW w:type="dxa" w:w="14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49"/>
              <w:bottom w:type="dxa" w:w="15"/>
              <w:right w:type="dxa" w:w="149"/>
            </w:tcMar>
            <w:vAlign w:val="center"/>
          </w:tcPr>
          <w:p w14:paraId="A5000000">
            <w:pPr>
              <w:ind/>
              <w:jc w:val="center"/>
              <w:rPr>
                <w:b w:val="1"/>
              </w:rPr>
            </w:pPr>
          </w:p>
        </w:tc>
        <w:tc>
          <w:tcPr>
            <w:tcW w:type="dxa" w:w="169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49"/>
              <w:bottom w:type="dxa" w:w="15"/>
              <w:right w:type="dxa" w:w="149"/>
            </w:tcMar>
            <w:vAlign w:val="center"/>
          </w:tcPr>
          <w:p w14:paraId="A600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8366,7</w:t>
            </w:r>
          </w:p>
        </w:tc>
        <w:tc>
          <w:tcPr>
            <w:tcW w:type="dxa" w:w="198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49"/>
              <w:bottom w:type="dxa" w:w="15"/>
              <w:right w:type="dxa" w:w="149"/>
            </w:tcMar>
            <w:vAlign w:val="center"/>
          </w:tcPr>
          <w:p w14:paraId="A700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0</w:t>
            </w:r>
          </w:p>
        </w:tc>
        <w:tc>
          <w:tcPr>
            <w:tcW w:type="dxa" w:w="183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49"/>
              <w:bottom w:type="dxa" w:w="15"/>
              <w:right w:type="dxa" w:w="149"/>
            </w:tcMar>
            <w:vAlign w:val="center"/>
          </w:tcPr>
          <w:p w14:paraId="A800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8283,0</w:t>
            </w:r>
          </w:p>
        </w:tc>
        <w:tc>
          <w:tcPr>
            <w:tcW w:type="dxa" w:w="18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49"/>
              <w:bottom w:type="dxa" w:w="15"/>
              <w:right w:type="dxa" w:w="149"/>
            </w:tcMar>
            <w:vAlign w:val="center"/>
          </w:tcPr>
          <w:p w14:paraId="A900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83,7</w:t>
            </w:r>
          </w:p>
        </w:tc>
      </w:tr>
    </w:tbl>
    <w:p w14:paraId="AA000000">
      <w:pPr>
        <w:ind/>
        <w:jc w:val="center"/>
      </w:pPr>
    </w:p>
    <w:p w14:paraId="AB000000">
      <w:pPr>
        <w:ind/>
        <w:jc w:val="center"/>
      </w:pPr>
    </w:p>
    <w:p w14:paraId="AC000000">
      <w:pPr>
        <w:ind/>
        <w:jc w:val="right"/>
        <w:rPr>
          <w:b w:val="1"/>
        </w:rPr>
      </w:pPr>
      <w:r>
        <w:rPr>
          <w:b w:val="1"/>
        </w:rPr>
        <w:t>Приложение 2</w:t>
      </w:r>
    </w:p>
    <w:p w14:paraId="AD000000">
      <w:pPr>
        <w:ind/>
        <w:jc w:val="right"/>
      </w:pPr>
      <w:r>
        <w:t xml:space="preserve">к программе "Чистая вода" </w:t>
      </w:r>
      <w:r>
        <w:t xml:space="preserve">в муниципальном образовании  «Первомайское» </w:t>
      </w:r>
    </w:p>
    <w:p w14:paraId="AE000000">
      <w:pPr>
        <w:ind/>
        <w:jc w:val="right"/>
      </w:pPr>
      <w:r>
        <w:t>на 2023-2024 годы</w:t>
      </w:r>
    </w:p>
    <w:p w14:paraId="AF000000">
      <w:pPr>
        <w:ind/>
        <w:jc w:val="center"/>
        <w:rPr>
          <w:b w:val="1"/>
        </w:rPr>
      </w:pPr>
      <w:r>
        <w:rPr>
          <w:b w:val="1"/>
        </w:rPr>
        <w:t>ПЛАН</w:t>
      </w:r>
    </w:p>
    <w:p w14:paraId="B0000000">
      <w:pPr>
        <w:ind/>
        <w:jc w:val="center"/>
        <w:rPr>
          <w:b w:val="1"/>
        </w:rPr>
      </w:pPr>
      <w:r>
        <w:rPr>
          <w:b w:val="1"/>
        </w:rPr>
        <w:t>реализации муниципальной программы</w:t>
      </w:r>
      <w:r>
        <w:rPr>
          <w:b w:val="1"/>
        </w:rPr>
        <w:t xml:space="preserve"> </w:t>
      </w:r>
      <w:r>
        <w:rPr>
          <w:b w:val="1"/>
        </w:rPr>
        <w:t xml:space="preserve">"Чистая вода" </w:t>
      </w:r>
      <w:r>
        <w:rPr>
          <w:b w:val="1"/>
        </w:rPr>
        <w:t xml:space="preserve">в муниципальном образовании  «Первомайское» </w:t>
      </w:r>
    </w:p>
    <w:p w14:paraId="B1000000">
      <w:pPr>
        <w:ind/>
        <w:jc w:val="center"/>
        <w:rPr>
          <w:b w:val="1"/>
        </w:rPr>
      </w:pPr>
      <w:r>
        <w:rPr>
          <w:b w:val="1"/>
        </w:rPr>
        <w:t>на 2023-2024 годы</w:t>
      </w:r>
    </w:p>
    <w:tbl>
      <w:tblPr>
        <w:tblStyle w:val="Style_7"/>
        <w:tblInd w:type="dxa" w:w="10"/>
        <w:tblLayout w:type="fixed"/>
        <w:tblCellMar>
          <w:left w:type="dxa" w:w="0"/>
          <w:right w:type="dxa" w:w="0"/>
        </w:tblCellMar>
      </w:tblPr>
      <w:tblGrid>
        <w:gridCol w:w="456"/>
        <w:gridCol w:w="3541"/>
        <w:gridCol w:w="1654"/>
        <w:gridCol w:w="1240"/>
        <w:gridCol w:w="1242"/>
        <w:gridCol w:w="4962"/>
        <w:gridCol w:w="1240"/>
        <w:gridCol w:w="827"/>
        <w:gridCol w:w="107"/>
      </w:tblGrid>
      <w:tr>
        <w:trPr>
          <w:trHeight w:hRule="atLeast" w:val="320"/>
        </w:trPr>
        <w:tc>
          <w:tcPr>
            <w:tcW w:type="dxa" w:w="456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sz="4" w:val="nil"/>
            </w:tcBorders>
            <w:tcMar>
              <w:left w:type="dxa" w:w="0"/>
              <w:right w:type="dxa" w:w="0"/>
            </w:tcMar>
          </w:tcPr>
          <w:p w14:paraId="B200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 xml:space="preserve">№ </w:t>
            </w:r>
            <w:r>
              <w:rPr>
                <w:b w:val="1"/>
                <w:color w:val="000000"/>
                <w:sz w:val="22"/>
              </w:rPr>
              <w:t>п</w:t>
            </w:r>
            <w:r>
              <w:rPr>
                <w:b w:val="1"/>
                <w:color w:val="000000"/>
                <w:sz w:val="22"/>
              </w:rPr>
              <w:t>/п</w:t>
            </w:r>
          </w:p>
        </w:tc>
        <w:tc>
          <w:tcPr>
            <w:tcW w:type="dxa" w:w="3541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sz="4" w:val="nil"/>
            </w:tcBorders>
            <w:tcMar>
              <w:left w:type="dxa" w:w="0"/>
              <w:right w:type="dxa" w:w="0"/>
            </w:tcMar>
          </w:tcPr>
          <w:p w14:paraId="B300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Наименование</w:t>
            </w:r>
          </w:p>
          <w:p w14:paraId="B400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програм</w:t>
            </w:r>
            <w:r>
              <w:rPr>
                <w:b w:val="1"/>
                <w:color w:val="000000"/>
                <w:sz w:val="22"/>
              </w:rPr>
              <w:t>мы,</w:t>
            </w:r>
            <w:r>
              <w:rPr>
                <w:b w:val="1"/>
                <w:color w:val="000000"/>
                <w:sz w:val="22"/>
              </w:rPr>
              <w:t xml:space="preserve"> </w:t>
            </w:r>
            <w:r>
              <w:rPr>
                <w:b w:val="1"/>
                <w:color w:val="000000"/>
                <w:sz w:val="22"/>
              </w:rPr>
              <w:t>мероприятий</w:t>
            </w:r>
          </w:p>
        </w:tc>
        <w:tc>
          <w:tcPr>
            <w:tcW w:type="dxa" w:w="1654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sz="4" w:val="nil"/>
            </w:tcBorders>
            <w:tcMar>
              <w:left w:type="dxa" w:w="0"/>
              <w:right w:type="dxa" w:w="0"/>
            </w:tcMar>
          </w:tcPr>
          <w:p w14:paraId="B500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Ответст</w:t>
            </w:r>
            <w:r>
              <w:rPr>
                <w:b w:val="1"/>
                <w:color w:val="000000"/>
                <w:sz w:val="22"/>
              </w:rPr>
              <w:t>венный</w:t>
            </w:r>
          </w:p>
          <w:p w14:paraId="B600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исполнитель</w:t>
            </w:r>
          </w:p>
          <w:p w14:paraId="B7000000">
            <w:pPr>
              <w:ind/>
              <w:jc w:val="center"/>
              <w:rPr>
                <w:b w:val="1"/>
                <w:color w:val="000000"/>
                <w:sz w:val="22"/>
              </w:rPr>
            </w:pPr>
          </w:p>
        </w:tc>
        <w:tc>
          <w:tcPr>
            <w:tcW w:type="dxa" w:w="2481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sz="4" w:val="nil"/>
            </w:tcBorders>
            <w:tcMar>
              <w:left w:type="dxa" w:w="0"/>
              <w:right w:type="dxa" w:w="0"/>
            </w:tcMar>
          </w:tcPr>
          <w:p w14:paraId="B800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Срок</w:t>
            </w:r>
          </w:p>
        </w:tc>
        <w:tc>
          <w:tcPr>
            <w:tcW w:type="dxa" w:w="4962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sz="4" w:val="nil"/>
            </w:tcBorders>
            <w:tcMar>
              <w:left w:type="dxa" w:w="0"/>
              <w:right w:type="dxa" w:w="0"/>
            </w:tcMar>
          </w:tcPr>
          <w:p w14:paraId="B900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Ожидаемый</w:t>
            </w:r>
          </w:p>
          <w:p w14:paraId="BA00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непосредственный    результат</w:t>
            </w:r>
          </w:p>
          <w:p w14:paraId="BB00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(краткое</w:t>
            </w:r>
            <w:r>
              <w:rPr>
                <w:b w:val="1"/>
                <w:color w:val="000000"/>
                <w:sz w:val="22"/>
              </w:rPr>
              <w:t xml:space="preserve"> </w:t>
            </w:r>
            <w:r>
              <w:rPr>
                <w:b w:val="1"/>
                <w:color w:val="000000"/>
                <w:sz w:val="22"/>
              </w:rPr>
              <w:t>описание)</w:t>
            </w:r>
          </w:p>
        </w:tc>
        <w:tc>
          <w:tcPr>
            <w:tcW w:type="dxa" w:w="1240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sz="4" w:val="nil"/>
            </w:tcBorders>
            <w:tcMar>
              <w:left w:type="dxa" w:w="0"/>
              <w:right w:type="dxa" w:w="0"/>
            </w:tcMar>
          </w:tcPr>
          <w:p w14:paraId="BC00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КБК</w:t>
            </w:r>
          </w:p>
        </w:tc>
        <w:tc>
          <w:tcPr>
            <w:tcW w:type="dxa" w:w="827"/>
            <w:tcBorders>
              <w:top w:color="000000" w:sz="8" w:val="single"/>
              <w:left w:color="000000" w:sz="8" w:val="single"/>
              <w:bottom w:color="000000" w:sz="8" w:val="single"/>
              <w:right w:sz="4" w:val="nil"/>
            </w:tcBorders>
            <w:tcMar>
              <w:left w:type="dxa" w:w="0"/>
              <w:right w:type="dxa" w:w="0"/>
            </w:tcMar>
          </w:tcPr>
          <w:p w14:paraId="BD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Финанси</w:t>
            </w:r>
            <w:r>
              <w:rPr>
                <w:b w:val="1"/>
                <w:sz w:val="22"/>
              </w:rPr>
              <w:t>рование</w:t>
            </w:r>
          </w:p>
          <w:p w14:paraId="BE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(тыс. руб.)</w:t>
            </w:r>
          </w:p>
        </w:tc>
        <w:tc>
          <w:tcPr>
            <w:tcW w:type="dxa" w:w="107"/>
            <w:tcBorders>
              <w:top w:sz="4" w:val="nil"/>
              <w:left w:color="000000" w:sz="8" w:val="single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BF000000">
            <w:pPr>
              <w:widowControl w:val="0"/>
              <w:spacing w:line="276" w:lineRule="auto"/>
              <w:ind/>
              <w:rPr>
                <w:b w:val="1"/>
                <w:sz w:val="22"/>
                <w:highlight w:val="yellow"/>
              </w:rPr>
            </w:pPr>
          </w:p>
        </w:tc>
      </w:tr>
      <w:tr>
        <w:trPr>
          <w:trHeight w:hRule="atLeast" w:val="480"/>
        </w:trPr>
        <w:tc>
          <w:tcPr>
            <w:tcW w:type="dxa" w:w="456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3541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654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240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C000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начала</w:t>
            </w:r>
          </w:p>
          <w:p w14:paraId="C100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реализации</w:t>
            </w:r>
          </w:p>
        </w:tc>
        <w:tc>
          <w:tcPr>
            <w:tcW w:type="dxa" w:w="1242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C200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Окончания</w:t>
            </w:r>
          </w:p>
          <w:p w14:paraId="C300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реализации</w:t>
            </w:r>
          </w:p>
        </w:tc>
        <w:tc>
          <w:tcPr>
            <w:tcW w:type="dxa" w:w="4962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240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82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C4000000">
            <w:pPr>
              <w:ind/>
              <w:jc w:val="center"/>
              <w:rPr>
                <w:sz w:val="22"/>
              </w:rPr>
            </w:pPr>
          </w:p>
        </w:tc>
        <w:tc>
          <w:tcPr>
            <w:tcW w:type="dxa" w:w="107"/>
            <w:tcMar>
              <w:left w:type="dxa" w:w="0"/>
              <w:right w:type="dxa" w:w="0"/>
            </w:tcMar>
          </w:tcPr>
          <w:p w14:paraId="C5000000"/>
        </w:tc>
      </w:tr>
      <w:tr>
        <w:trPr>
          <w:trHeight w:hRule="atLeast" w:val="320"/>
        </w:trPr>
        <w:tc>
          <w:tcPr>
            <w:tcW w:type="dxa" w:w="456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C6000000">
            <w:pPr>
              <w:ind/>
              <w:jc w:val="both"/>
              <w:rPr>
                <w:color w:val="000000"/>
                <w:sz w:val="22"/>
              </w:rPr>
            </w:pPr>
          </w:p>
        </w:tc>
        <w:tc>
          <w:tcPr>
            <w:tcW w:type="dxa" w:w="3541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C700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П</w:t>
            </w:r>
            <w:r>
              <w:rPr>
                <w:color w:val="000000"/>
                <w:sz w:val="22"/>
              </w:rPr>
              <w:t xml:space="preserve">рограмма </w:t>
            </w:r>
            <w:r>
              <w:rPr>
                <w:color w:val="000000"/>
                <w:sz w:val="22"/>
              </w:rPr>
              <w:t xml:space="preserve">"Чистая вода" </w:t>
            </w:r>
            <w:r>
              <w:rPr>
                <w:color w:val="000000"/>
                <w:sz w:val="22"/>
              </w:rPr>
              <w:t xml:space="preserve">в муниципальном образовании  </w:t>
            </w:r>
            <w:r>
              <w:rPr>
                <w:color w:val="000000"/>
                <w:sz w:val="22"/>
              </w:rPr>
              <w:t xml:space="preserve">«Первомайское» </w:t>
            </w:r>
          </w:p>
          <w:p w14:paraId="C800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на 2023-2024 годы</w:t>
            </w:r>
          </w:p>
        </w:tc>
        <w:tc>
          <w:tcPr>
            <w:tcW w:type="dxa" w:w="1654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C900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Администрация </w:t>
            </w:r>
            <w:r>
              <w:rPr>
                <w:color w:val="000000"/>
                <w:sz w:val="22"/>
              </w:rPr>
              <w:t>поселения</w:t>
            </w:r>
          </w:p>
        </w:tc>
        <w:tc>
          <w:tcPr>
            <w:tcW w:type="dxa" w:w="1240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CA00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2023</w:t>
            </w:r>
          </w:p>
        </w:tc>
        <w:tc>
          <w:tcPr>
            <w:tcW w:type="dxa" w:w="1242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CB00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2024</w:t>
            </w:r>
          </w:p>
        </w:tc>
        <w:tc>
          <w:tcPr>
            <w:tcW w:type="dxa" w:w="4962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CC00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Доля населения, обеспеченного питьевой водой, отвечающей требованиям безопасности, в общей </w:t>
            </w:r>
            <w:r>
              <w:rPr>
                <w:color w:val="000000"/>
                <w:sz w:val="22"/>
              </w:rPr>
              <w:t>численности населения -100 %</w:t>
            </w:r>
            <w:r>
              <w:rPr>
                <w:color w:val="000000"/>
                <w:sz w:val="22"/>
              </w:rPr>
              <w:t xml:space="preserve">. </w:t>
            </w:r>
            <w:r>
              <w:rPr>
                <w:color w:val="000000"/>
                <w:sz w:val="22"/>
              </w:rPr>
              <w:t>Ожидается, что в результате реализации Программы будут достигнуты рост обеспеченности населения питьевой водой, соответствующей гигиеническим нормативам, решится вопрос с доставкой воды населению, что приведет к повышению качества жизни граждан и снижению заболеваемости.</w:t>
            </w:r>
          </w:p>
        </w:tc>
        <w:tc>
          <w:tcPr>
            <w:tcW w:type="dxa" w:w="1240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CD00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X</w:t>
            </w:r>
          </w:p>
        </w:tc>
        <w:tc>
          <w:tcPr>
            <w:tcW w:type="dxa" w:w="82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CE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8366,7</w:t>
            </w:r>
          </w:p>
        </w:tc>
        <w:tc>
          <w:tcPr>
            <w:tcW w:type="dxa" w:w="107"/>
            <w:tcMar>
              <w:left w:type="dxa" w:w="0"/>
              <w:right w:type="dxa" w:w="0"/>
            </w:tcMar>
          </w:tcPr>
          <w:p w14:paraId="CF000000"/>
        </w:tc>
      </w:tr>
      <w:tr>
        <w:trPr>
          <w:trHeight w:hRule="atLeast" w:val="320"/>
        </w:trPr>
        <w:tc>
          <w:tcPr>
            <w:tcW w:type="dxa" w:w="456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D0000000">
            <w:pPr>
              <w:ind/>
              <w:jc w:val="both"/>
              <w:rPr>
                <w:color w:val="000000"/>
                <w:sz w:val="22"/>
              </w:rPr>
            </w:pPr>
          </w:p>
        </w:tc>
        <w:tc>
          <w:tcPr>
            <w:tcW w:type="dxa" w:w="3541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D100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</w:t>
            </w:r>
            <w:r>
              <w:rPr>
                <w:color w:val="000000"/>
                <w:sz w:val="22"/>
              </w:rPr>
              <w:t>ероприяти</w:t>
            </w:r>
            <w:r>
              <w:rPr>
                <w:color w:val="000000"/>
                <w:sz w:val="22"/>
              </w:rPr>
              <w:t>я:</w:t>
            </w:r>
          </w:p>
          <w:p w14:paraId="D200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1.1.Направление проекта Программы в КСК МО «</w:t>
            </w:r>
            <w:r>
              <w:rPr>
                <w:color w:val="000000"/>
                <w:sz w:val="22"/>
              </w:rPr>
              <w:t>Нукутский</w:t>
            </w:r>
            <w:r>
              <w:rPr>
                <w:color w:val="000000"/>
                <w:sz w:val="22"/>
              </w:rPr>
              <w:t xml:space="preserve"> район»</w:t>
            </w:r>
          </w:p>
        </w:tc>
        <w:tc>
          <w:tcPr>
            <w:tcW w:type="dxa" w:w="1654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D300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Администрация поселения</w:t>
            </w:r>
          </w:p>
        </w:tc>
        <w:tc>
          <w:tcPr>
            <w:tcW w:type="dxa" w:w="1240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D400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2023</w:t>
            </w:r>
          </w:p>
        </w:tc>
        <w:tc>
          <w:tcPr>
            <w:tcW w:type="dxa" w:w="1242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D500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-</w:t>
            </w:r>
          </w:p>
        </w:tc>
        <w:tc>
          <w:tcPr>
            <w:tcW w:type="dxa" w:w="4962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D600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З</w:t>
            </w:r>
            <w:r>
              <w:rPr>
                <w:color w:val="000000"/>
                <w:sz w:val="22"/>
              </w:rPr>
              <w:t>аключени</w:t>
            </w:r>
            <w:r>
              <w:rPr>
                <w:color w:val="000000"/>
                <w:sz w:val="22"/>
              </w:rPr>
              <w:t>е КСК МО «</w:t>
            </w:r>
            <w:r>
              <w:rPr>
                <w:color w:val="000000"/>
                <w:sz w:val="22"/>
              </w:rPr>
              <w:t>Нукутский</w:t>
            </w:r>
            <w:r>
              <w:rPr>
                <w:color w:val="000000"/>
                <w:sz w:val="22"/>
              </w:rPr>
              <w:t xml:space="preserve"> район» по результатам проведения экспертизы проекта Программы </w:t>
            </w:r>
          </w:p>
        </w:tc>
        <w:tc>
          <w:tcPr>
            <w:tcW w:type="dxa" w:w="1240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D700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X</w:t>
            </w:r>
          </w:p>
        </w:tc>
        <w:tc>
          <w:tcPr>
            <w:tcW w:type="dxa" w:w="82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D8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type="dxa" w:w="107"/>
            <w:tcMar>
              <w:left w:type="dxa" w:w="0"/>
              <w:right w:type="dxa" w:w="0"/>
            </w:tcMar>
          </w:tcPr>
          <w:p w14:paraId="D9000000"/>
        </w:tc>
      </w:tr>
      <w:tr>
        <w:trPr>
          <w:trHeight w:hRule="atLeast" w:val="320"/>
        </w:trPr>
        <w:tc>
          <w:tcPr>
            <w:tcW w:type="dxa" w:w="456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DA000000">
            <w:pPr>
              <w:ind/>
              <w:jc w:val="both"/>
              <w:rPr>
                <w:sz w:val="22"/>
              </w:rPr>
            </w:pPr>
          </w:p>
        </w:tc>
        <w:tc>
          <w:tcPr>
            <w:tcW w:type="dxa" w:w="3541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DB00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1.2</w:t>
            </w:r>
            <w:r>
              <w:rPr>
                <w:sz w:val="22"/>
              </w:rPr>
              <w:t>. формирование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выписк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 xml:space="preserve"> из сводной бюдж</w:t>
            </w:r>
            <w:r>
              <w:rPr>
                <w:sz w:val="22"/>
              </w:rPr>
              <w:t>етной росписи местного бюджета</w:t>
            </w:r>
          </w:p>
        </w:tc>
        <w:tc>
          <w:tcPr>
            <w:tcW w:type="dxa" w:w="1654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DC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Финансовый отдел администрации поселения</w:t>
            </w:r>
          </w:p>
        </w:tc>
        <w:tc>
          <w:tcPr>
            <w:tcW w:type="dxa" w:w="1240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DD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2023</w:t>
            </w:r>
          </w:p>
        </w:tc>
        <w:tc>
          <w:tcPr>
            <w:tcW w:type="dxa" w:w="1242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DE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type="dxa" w:w="4962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DF00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наличие в местном бюджете бюджетных ассигнований на реализацию мероприятия по приобретению специализированной техники в объеме, соответствующем размеру финансирования реализации указанного мероприятия за счет средств местного бюджета</w:t>
            </w:r>
          </w:p>
        </w:tc>
        <w:tc>
          <w:tcPr>
            <w:tcW w:type="dxa" w:w="1240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E0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type="dxa" w:w="82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E1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type="dxa" w:w="107"/>
            <w:tcMar>
              <w:left w:type="dxa" w:w="0"/>
              <w:right w:type="dxa" w:w="0"/>
            </w:tcMar>
          </w:tcPr>
          <w:p w14:paraId="E2000000"/>
        </w:tc>
      </w:tr>
      <w:tr>
        <w:tc>
          <w:tcPr>
            <w:tcW w:type="dxa" w:w="456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E3000000">
            <w:pPr>
              <w:ind/>
              <w:jc w:val="both"/>
              <w:rPr>
                <w:sz w:val="22"/>
              </w:rPr>
            </w:pPr>
          </w:p>
        </w:tc>
        <w:tc>
          <w:tcPr>
            <w:tcW w:type="dxa" w:w="3541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E400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1.3. запрос не менее трех  коммерческих предложений</w:t>
            </w:r>
            <w:r>
              <w:rPr>
                <w:color w:val="000000"/>
                <w:sz w:val="22"/>
              </w:rPr>
              <w:t xml:space="preserve"> </w:t>
            </w:r>
            <w:r>
              <w:rPr>
                <w:sz w:val="22"/>
              </w:rPr>
              <w:t>о цене единицы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специализированной техники</w:t>
            </w:r>
          </w:p>
        </w:tc>
        <w:tc>
          <w:tcPr>
            <w:tcW w:type="dxa" w:w="1654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E5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Администрация поселения</w:t>
            </w:r>
          </w:p>
        </w:tc>
        <w:tc>
          <w:tcPr>
            <w:tcW w:type="dxa" w:w="1240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E6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2023</w:t>
            </w:r>
          </w:p>
        </w:tc>
        <w:tc>
          <w:tcPr>
            <w:tcW w:type="dxa" w:w="1242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E7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type="dxa" w:w="4962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E800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Определение средней цены единицы специализированной техники</w:t>
            </w:r>
          </w:p>
        </w:tc>
        <w:tc>
          <w:tcPr>
            <w:tcW w:type="dxa" w:w="1240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E9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type="dxa" w:w="82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EA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type="dxa" w:w="107"/>
            <w:tcMar>
              <w:left w:type="dxa" w:w="0"/>
              <w:right w:type="dxa" w:w="0"/>
            </w:tcMar>
          </w:tcPr>
          <w:p w14:paraId="EB000000"/>
        </w:tc>
      </w:tr>
      <w:tr>
        <w:tc>
          <w:tcPr>
            <w:tcW w:type="dxa" w:w="456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EC000000">
            <w:pPr>
              <w:ind/>
              <w:jc w:val="both"/>
              <w:rPr>
                <w:sz w:val="22"/>
              </w:rPr>
            </w:pPr>
          </w:p>
        </w:tc>
        <w:tc>
          <w:tcPr>
            <w:tcW w:type="dxa" w:w="3541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ED00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1.4. определение</w:t>
            </w:r>
            <w:r>
              <w:rPr>
                <w:color w:val="000000"/>
                <w:sz w:val="22"/>
              </w:rPr>
              <w:t xml:space="preserve"> </w:t>
            </w:r>
            <w:r>
              <w:rPr>
                <w:sz w:val="22"/>
              </w:rPr>
              <w:t>численности населения поселения, которое получит услугу по подвозу питьевой воды при реализации мероприятия по приобретению специализированной техники</w:t>
            </w:r>
          </w:p>
        </w:tc>
        <w:tc>
          <w:tcPr>
            <w:tcW w:type="dxa" w:w="1654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EE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Администрация поселения</w:t>
            </w:r>
          </w:p>
        </w:tc>
        <w:tc>
          <w:tcPr>
            <w:tcW w:type="dxa" w:w="1240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EF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2023</w:t>
            </w:r>
          </w:p>
        </w:tc>
        <w:tc>
          <w:tcPr>
            <w:tcW w:type="dxa" w:w="1242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F0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type="dxa" w:w="4962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F100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рост обеспеченности населения питьевой водой, соответствующей гигиени</w:t>
            </w:r>
            <w:r>
              <w:rPr>
                <w:sz w:val="22"/>
              </w:rPr>
              <w:t>ческим нормативам, решение</w:t>
            </w:r>
            <w:r>
              <w:rPr>
                <w:sz w:val="22"/>
              </w:rPr>
              <w:t xml:space="preserve"> вопрос</w:t>
            </w:r>
            <w:r>
              <w:rPr>
                <w:sz w:val="22"/>
              </w:rPr>
              <w:t>а</w:t>
            </w:r>
            <w:r>
              <w:rPr>
                <w:sz w:val="22"/>
              </w:rPr>
              <w:t xml:space="preserve"> с доставко</w:t>
            </w:r>
            <w:r>
              <w:rPr>
                <w:sz w:val="22"/>
              </w:rPr>
              <w:t>й воды населению,  повышение</w:t>
            </w:r>
            <w:r>
              <w:rPr>
                <w:sz w:val="22"/>
              </w:rPr>
              <w:t xml:space="preserve"> качества жизни граждан</w:t>
            </w:r>
          </w:p>
        </w:tc>
        <w:tc>
          <w:tcPr>
            <w:tcW w:type="dxa" w:w="1240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F2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type="dxa" w:w="82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F3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type="dxa" w:w="107"/>
            <w:tcMar>
              <w:left w:type="dxa" w:w="0"/>
              <w:right w:type="dxa" w:w="0"/>
            </w:tcMar>
          </w:tcPr>
          <w:p w14:paraId="F4000000"/>
        </w:tc>
      </w:tr>
      <w:tr>
        <w:tc>
          <w:tcPr>
            <w:tcW w:type="dxa" w:w="456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F5000000">
            <w:pPr>
              <w:ind/>
              <w:jc w:val="both"/>
              <w:rPr>
                <w:sz w:val="22"/>
              </w:rPr>
            </w:pPr>
          </w:p>
        </w:tc>
        <w:tc>
          <w:tcPr>
            <w:tcW w:type="dxa" w:w="3541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F600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1.5.</w:t>
            </w:r>
            <w:r>
              <w:rPr>
                <w:rFonts w:ascii="Times New Roman CYR" w:hAnsi="Times New Roman CYR"/>
                <w:color w:val="000000"/>
              </w:rPr>
              <w:t xml:space="preserve"> </w:t>
            </w:r>
            <w:r>
              <w:rPr>
                <w:sz w:val="22"/>
              </w:rPr>
              <w:t>заявка на приобретение специализированной техники</w:t>
            </w:r>
          </w:p>
        </w:tc>
        <w:tc>
          <w:tcPr>
            <w:tcW w:type="dxa" w:w="1654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F7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Администрация поселения</w:t>
            </w:r>
          </w:p>
        </w:tc>
        <w:tc>
          <w:tcPr>
            <w:tcW w:type="dxa" w:w="1240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F8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2023</w:t>
            </w:r>
          </w:p>
        </w:tc>
        <w:tc>
          <w:tcPr>
            <w:tcW w:type="dxa" w:w="1242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F9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type="dxa" w:w="4962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FA000000">
            <w:pPr>
              <w:ind/>
              <w:jc w:val="both"/>
              <w:rPr>
                <w:sz w:val="22"/>
              </w:rPr>
            </w:pPr>
            <w:r>
              <w:rPr>
                <w:rFonts w:ascii="Times New Roman CYR" w:hAnsi="Times New Roman CYR"/>
                <w:color w:val="000000"/>
                <w:sz w:val="22"/>
              </w:rPr>
              <w:t>Получение из областного бюджета</w:t>
            </w:r>
            <w:r>
              <w:rPr>
                <w:rFonts w:ascii="Times New Roman CYR" w:hAnsi="Times New Roman CYR"/>
                <w:color w:val="000000"/>
                <w:sz w:val="22"/>
              </w:rPr>
              <w:t xml:space="preserve"> субсидии на приобретение специализированной техники</w:t>
            </w:r>
          </w:p>
        </w:tc>
        <w:tc>
          <w:tcPr>
            <w:tcW w:type="dxa" w:w="1240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FB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type="dxa" w:w="82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FC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type="dxa" w:w="107"/>
            <w:tcMar>
              <w:left w:type="dxa" w:w="0"/>
              <w:right w:type="dxa" w:w="0"/>
            </w:tcMar>
          </w:tcPr>
          <w:p w14:paraId="FD000000"/>
        </w:tc>
      </w:tr>
      <w:tr>
        <w:tc>
          <w:tcPr>
            <w:tcW w:type="dxa" w:w="456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FE000000">
            <w:pPr>
              <w:ind/>
              <w:jc w:val="both"/>
              <w:rPr>
                <w:sz w:val="22"/>
              </w:rPr>
            </w:pPr>
          </w:p>
        </w:tc>
        <w:tc>
          <w:tcPr>
            <w:tcW w:type="dxa" w:w="3541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FF00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1.6. заключение соглашения с министерством жилищной политики и энергетик</w:t>
            </w:r>
            <w:r>
              <w:rPr>
                <w:sz w:val="22"/>
              </w:rPr>
              <w:t>и ИО о</w:t>
            </w:r>
            <w:r>
              <w:rPr>
                <w:sz w:val="22"/>
              </w:rPr>
              <w:t xml:space="preserve"> предоставлении субсидии из областного бюджета  </w:t>
            </w:r>
          </w:p>
        </w:tc>
        <w:tc>
          <w:tcPr>
            <w:tcW w:type="dxa" w:w="1654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00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Администрация поселения</w:t>
            </w:r>
          </w:p>
        </w:tc>
        <w:tc>
          <w:tcPr>
            <w:tcW w:type="dxa" w:w="1240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01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type="dxa" w:w="1242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02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2024</w:t>
            </w:r>
          </w:p>
        </w:tc>
        <w:tc>
          <w:tcPr>
            <w:tcW w:type="dxa" w:w="4962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03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 xml:space="preserve">Приобретение </w:t>
            </w:r>
            <w:r>
              <w:rPr>
                <w:sz w:val="22"/>
              </w:rPr>
              <w:t>специализированной техники для водоснабжения населения</w:t>
            </w:r>
          </w:p>
        </w:tc>
        <w:tc>
          <w:tcPr>
            <w:tcW w:type="dxa" w:w="1240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04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type="dxa" w:w="82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05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type="dxa" w:w="107"/>
            <w:tcMar>
              <w:left w:type="dxa" w:w="0"/>
              <w:right w:type="dxa" w:w="0"/>
            </w:tcMar>
          </w:tcPr>
          <w:p w14:paraId="06010000"/>
        </w:tc>
      </w:tr>
    </w:tbl>
    <w:p w14:paraId="07010000">
      <w:pPr>
        <w:sectPr>
          <w:pgSz w:h="11906" w:orient="landscape" w:w="16838"/>
          <w:pgMar w:bottom="567" w:footer="709" w:gutter="0" w:header="709" w:left="851" w:right="709" w:top="1418"/>
        </w:sectPr>
      </w:pPr>
    </w:p>
    <w:p w14:paraId="08010000">
      <w:pPr>
        <w:ind/>
        <w:jc w:val="right"/>
        <w:rPr>
          <w:b w:val="1"/>
          <w:sz w:val="22"/>
        </w:rPr>
      </w:pPr>
      <w:r>
        <w:rPr>
          <w:b w:val="1"/>
          <w:sz w:val="22"/>
        </w:rPr>
        <w:t xml:space="preserve">Приложение </w:t>
      </w:r>
      <w:r>
        <w:rPr>
          <w:b w:val="1"/>
          <w:sz w:val="22"/>
        </w:rPr>
        <w:t>3</w:t>
      </w:r>
    </w:p>
    <w:p w14:paraId="09010000">
      <w:pPr>
        <w:ind/>
        <w:jc w:val="right"/>
        <w:rPr>
          <w:sz w:val="22"/>
        </w:rPr>
      </w:pPr>
      <w:r>
        <w:rPr>
          <w:sz w:val="22"/>
        </w:rPr>
        <w:t xml:space="preserve">к программе "Чистая вода" </w:t>
      </w:r>
      <w:r>
        <w:rPr>
          <w:sz w:val="22"/>
        </w:rPr>
        <w:t xml:space="preserve">в муниципальном образовании  «Первомайское» </w:t>
      </w:r>
    </w:p>
    <w:p w14:paraId="0A010000">
      <w:pPr>
        <w:ind/>
        <w:jc w:val="right"/>
        <w:rPr>
          <w:sz w:val="22"/>
        </w:rPr>
      </w:pPr>
      <w:r>
        <w:rPr>
          <w:sz w:val="22"/>
        </w:rPr>
        <w:t>на 2023-2024 годы</w:t>
      </w:r>
    </w:p>
    <w:p w14:paraId="0B010000">
      <w:pPr>
        <w:ind/>
        <w:jc w:val="right"/>
        <w:rPr>
          <w:sz w:val="21"/>
        </w:rPr>
      </w:pPr>
      <w:r>
        <w:rPr>
          <w:sz w:val="21"/>
        </w:rPr>
        <w:t xml:space="preserve">  </w:t>
      </w:r>
    </w:p>
    <w:p w14:paraId="0C010000">
      <w:pPr>
        <w:ind/>
        <w:jc w:val="center"/>
      </w:pPr>
      <w:bookmarkStart w:id="1" w:name="Par317"/>
      <w:bookmarkEnd w:id="1"/>
      <w:bookmarkStart w:id="2" w:name="Par322"/>
      <w:bookmarkEnd w:id="2"/>
      <w:r>
        <w:t>СВЕДЕНИЯ</w:t>
      </w:r>
    </w:p>
    <w:p w14:paraId="0D010000">
      <w:pPr>
        <w:ind/>
        <w:jc w:val="center"/>
      </w:pPr>
      <w:r>
        <w:t>о достижении</w:t>
      </w:r>
      <w:r>
        <w:t xml:space="preserve"> значений показателей (индикаторов)</w:t>
      </w:r>
      <w:r>
        <w:rPr>
          <w:sz w:val="22"/>
        </w:rPr>
        <w:t xml:space="preserve"> </w:t>
      </w:r>
      <w:r>
        <w:rPr>
          <w:sz w:val="22"/>
        </w:rPr>
        <w:t>&lt;*&gt;</w:t>
      </w:r>
    </w:p>
    <w:p w14:paraId="0E010000">
      <w:pPr>
        <w:ind/>
        <w:jc w:val="both"/>
      </w:pPr>
    </w:p>
    <w:tbl>
      <w:tblPr>
        <w:tblStyle w:val="Style_8"/>
        <w:tblInd w:type="dxa" w:w="0"/>
        <w:tblLayout w:type="fixed"/>
      </w:tblPr>
      <w:tblGrid>
        <w:gridCol w:w="598"/>
        <w:gridCol w:w="5606"/>
        <w:gridCol w:w="1418"/>
        <w:gridCol w:w="1827"/>
        <w:gridCol w:w="157"/>
        <w:gridCol w:w="993"/>
        <w:gridCol w:w="1417"/>
        <w:gridCol w:w="2516"/>
      </w:tblGrid>
      <w:tr>
        <w:trPr>
          <w:trHeight w:hRule="atLeast" w:val="800"/>
        </w:trPr>
        <w:tc>
          <w:tcPr>
            <w:tcW w:type="dxa" w:w="59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N</w:t>
            </w:r>
          </w:p>
          <w:p w14:paraId="10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</w:t>
            </w:r>
            <w:r>
              <w:rPr>
                <w:sz w:val="22"/>
              </w:rPr>
              <w:t>/п</w:t>
            </w:r>
          </w:p>
        </w:tc>
        <w:tc>
          <w:tcPr>
            <w:tcW w:type="dxa" w:w="560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Показатель</w:t>
            </w:r>
          </w:p>
          <w:p w14:paraId="12010000">
            <w:pPr>
              <w:ind/>
              <w:jc w:val="center"/>
              <w:rPr>
                <w:sz w:val="22"/>
              </w:rPr>
            </w:pPr>
            <w:r>
              <w:t xml:space="preserve"> </w:t>
            </w:r>
            <w:r>
              <w:rPr>
                <w:sz w:val="22"/>
              </w:rPr>
              <w:t>(наименование)</w:t>
            </w:r>
          </w:p>
        </w:tc>
        <w:tc>
          <w:tcPr>
            <w:tcW w:type="dxa" w:w="141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Ед.</w:t>
            </w:r>
          </w:p>
          <w:p w14:paraId="14010000">
            <w:pPr>
              <w:ind/>
              <w:jc w:val="center"/>
              <w:rPr>
                <w:sz w:val="22"/>
              </w:rPr>
            </w:pPr>
            <w:r>
              <w:t>измере</w:t>
            </w:r>
            <w:r>
              <w:rPr>
                <w:sz w:val="22"/>
              </w:rPr>
              <w:t>ния</w:t>
            </w:r>
          </w:p>
        </w:tc>
        <w:tc>
          <w:tcPr>
            <w:tcW w:type="dxa" w:w="4394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Значения показателей</w:t>
            </w:r>
          </w:p>
          <w:p w14:paraId="16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(индикаторов) программы,</w:t>
            </w:r>
          </w:p>
          <w:p w14:paraId="17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подпрограммы</w:t>
            </w:r>
          </w:p>
        </w:tc>
        <w:tc>
          <w:tcPr>
            <w:tcW w:type="dxa" w:w="2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Обоснование</w:t>
            </w:r>
          </w:p>
          <w:p w14:paraId="19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отклонений значений</w:t>
            </w:r>
          </w:p>
          <w:p w14:paraId="1A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показателя</w:t>
            </w:r>
          </w:p>
          <w:p w14:paraId="1B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(индикатора) </w:t>
            </w:r>
            <w:r>
              <w:rPr>
                <w:sz w:val="22"/>
              </w:rPr>
              <w:t>на</w:t>
            </w:r>
          </w:p>
          <w:p w14:paraId="1C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конец </w:t>
            </w:r>
            <w:r>
              <w:rPr>
                <w:sz w:val="22"/>
              </w:rPr>
              <w:t>отчетного</w:t>
            </w:r>
          </w:p>
          <w:p w14:paraId="1D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года (при наличии)</w:t>
            </w:r>
          </w:p>
        </w:tc>
      </w:tr>
      <w:tr>
        <w:trPr>
          <w:trHeight w:hRule="atLeast" w:val="600"/>
        </w:trPr>
        <w:tc>
          <w:tcPr>
            <w:tcW w:type="dxa" w:w="5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60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984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год,</w:t>
            </w:r>
          </w:p>
          <w:p w14:paraId="1F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предшествующий</w:t>
            </w:r>
          </w:p>
          <w:p w14:paraId="20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отчетному </w:t>
            </w:r>
            <w:r>
              <w:rPr>
                <w:sz w:val="22"/>
                <w:u w:val="single"/>
              </w:rPr>
              <w:fldChar w:fldCharType="begin"/>
            </w:r>
            <w:r>
              <w:rPr>
                <w:sz w:val="22"/>
                <w:u w:val="single"/>
              </w:rPr>
              <w:instrText>HYPERLINK "file:///C:/Users/Юрист/Downloads/постановление%20142.%20Порядок%20эффективности%20МО.docx#Par351"</w:instrText>
            </w:r>
            <w:r>
              <w:rPr>
                <w:sz w:val="22"/>
                <w:u w:val="single"/>
              </w:rPr>
              <w:fldChar w:fldCharType="separate"/>
            </w:r>
            <w:r>
              <w:rPr>
                <w:sz w:val="22"/>
                <w:u w:val="single"/>
              </w:rPr>
              <w:t>&lt;*</w:t>
            </w:r>
            <w:r>
              <w:rPr>
                <w:u w:val="single"/>
              </w:rPr>
              <w:t>*</w:t>
            </w:r>
            <w:r>
              <w:rPr>
                <w:sz w:val="22"/>
                <w:u w:val="single"/>
              </w:rPr>
              <w:t>&gt;</w:t>
            </w:r>
            <w:r>
              <w:rPr>
                <w:sz w:val="22"/>
                <w:u w:val="single"/>
              </w:rPr>
              <w:fldChar w:fldCharType="end"/>
            </w:r>
          </w:p>
        </w:tc>
        <w:tc>
          <w:tcPr>
            <w:tcW w:type="dxa" w:w="241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отчетный</w:t>
            </w:r>
          </w:p>
          <w:p w14:paraId="22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год</w:t>
            </w:r>
          </w:p>
        </w:tc>
        <w:tc>
          <w:tcPr>
            <w:tcW w:type="dxa" w:w="2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10000">
            <w:pPr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5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60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98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план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факт</w:t>
            </w:r>
          </w:p>
        </w:tc>
        <w:tc>
          <w:tcPr>
            <w:tcW w:type="dxa" w:w="2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10000">
            <w:pPr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5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10000">
            <w:pPr>
              <w:ind/>
              <w:jc w:val="both"/>
              <w:rPr>
                <w:sz w:val="22"/>
              </w:rPr>
            </w:pPr>
          </w:p>
        </w:tc>
        <w:tc>
          <w:tcPr>
            <w:tcW w:type="dxa" w:w="13934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1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П</w:t>
            </w:r>
            <w:r>
              <w:rPr>
                <w:b w:val="1"/>
                <w:sz w:val="22"/>
              </w:rPr>
              <w:t xml:space="preserve">рограмма "Чистая вода" </w:t>
            </w:r>
            <w:r>
              <w:rPr>
                <w:b w:val="1"/>
                <w:sz w:val="22"/>
              </w:rPr>
              <w:t xml:space="preserve">в муниципальном образовании </w:t>
            </w:r>
            <w:r>
              <w:rPr>
                <w:b w:val="1"/>
                <w:sz w:val="22"/>
              </w:rPr>
              <w:t xml:space="preserve"> «Первомайское»</w:t>
            </w:r>
          </w:p>
          <w:p w14:paraId="29010000">
            <w:pPr>
              <w:ind/>
              <w:jc w:val="center"/>
              <w:rPr>
                <w:sz w:val="22"/>
              </w:rPr>
            </w:pPr>
            <w:r>
              <w:rPr>
                <w:b w:val="1"/>
              </w:rPr>
              <w:t>на 2023-2024 годы</w:t>
            </w:r>
          </w:p>
        </w:tc>
      </w:tr>
      <w:tr>
        <w:trPr>
          <w:trHeight w:hRule="atLeast" w:val="400"/>
        </w:trPr>
        <w:tc>
          <w:tcPr>
            <w:tcW w:type="dxa" w:w="5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type="dxa" w:w="56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Показатель (индикатор)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10000">
            <w:pPr>
              <w:ind/>
              <w:jc w:val="both"/>
              <w:rPr>
                <w:sz w:val="22"/>
              </w:rPr>
            </w:pPr>
          </w:p>
        </w:tc>
        <w:tc>
          <w:tcPr>
            <w:tcW w:type="dxa" w:w="1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10000">
            <w:pPr>
              <w:ind/>
              <w:jc w:val="both"/>
              <w:rPr>
                <w:sz w:val="22"/>
              </w:rPr>
            </w:pPr>
          </w:p>
        </w:tc>
        <w:tc>
          <w:tcPr>
            <w:tcW w:type="dxa" w:w="115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10000">
            <w:pPr>
              <w:ind/>
              <w:jc w:val="both"/>
              <w:rPr>
                <w:sz w:val="22"/>
              </w:rPr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10000">
            <w:pPr>
              <w:ind/>
              <w:jc w:val="both"/>
              <w:rPr>
                <w:sz w:val="22"/>
              </w:rPr>
            </w:pPr>
          </w:p>
        </w:tc>
        <w:tc>
          <w:tcPr>
            <w:tcW w:type="dxa" w:w="2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10000">
            <w:pPr>
              <w:ind/>
              <w:jc w:val="both"/>
              <w:rPr>
                <w:sz w:val="22"/>
              </w:rPr>
            </w:pPr>
          </w:p>
        </w:tc>
      </w:tr>
      <w:tr>
        <w:tc>
          <w:tcPr>
            <w:tcW w:type="dxa" w:w="5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.</w:t>
            </w:r>
          </w:p>
        </w:tc>
        <w:tc>
          <w:tcPr>
            <w:tcW w:type="dxa" w:w="56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...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10000">
            <w:pPr>
              <w:ind/>
              <w:jc w:val="both"/>
              <w:rPr>
                <w:sz w:val="22"/>
              </w:rPr>
            </w:pPr>
          </w:p>
        </w:tc>
        <w:tc>
          <w:tcPr>
            <w:tcW w:type="dxa" w:w="1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10000">
            <w:pPr>
              <w:ind/>
              <w:jc w:val="both"/>
              <w:rPr>
                <w:sz w:val="22"/>
              </w:rPr>
            </w:pPr>
          </w:p>
        </w:tc>
        <w:tc>
          <w:tcPr>
            <w:tcW w:type="dxa" w:w="115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10000">
            <w:pPr>
              <w:ind/>
              <w:jc w:val="both"/>
              <w:rPr>
                <w:sz w:val="22"/>
              </w:rPr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10000">
            <w:pPr>
              <w:ind/>
              <w:jc w:val="both"/>
              <w:rPr>
                <w:sz w:val="22"/>
              </w:rPr>
            </w:pPr>
          </w:p>
        </w:tc>
        <w:tc>
          <w:tcPr>
            <w:tcW w:type="dxa" w:w="2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10000">
            <w:pPr>
              <w:ind/>
              <w:jc w:val="both"/>
              <w:rPr>
                <w:sz w:val="22"/>
              </w:rPr>
            </w:pPr>
          </w:p>
        </w:tc>
      </w:tr>
      <w:tr>
        <w:tc>
          <w:tcPr>
            <w:tcW w:type="dxa" w:w="5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10000">
            <w:pPr>
              <w:ind/>
              <w:jc w:val="both"/>
              <w:rPr>
                <w:sz w:val="22"/>
              </w:rPr>
            </w:pPr>
          </w:p>
        </w:tc>
        <w:tc>
          <w:tcPr>
            <w:tcW w:type="dxa" w:w="56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10000">
            <w:pPr>
              <w:ind/>
              <w:jc w:val="both"/>
              <w:rPr>
                <w:sz w:val="22"/>
              </w:rPr>
            </w:pP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10000">
            <w:pPr>
              <w:ind/>
              <w:jc w:val="both"/>
              <w:rPr>
                <w:sz w:val="22"/>
              </w:rPr>
            </w:pPr>
          </w:p>
        </w:tc>
        <w:tc>
          <w:tcPr>
            <w:tcW w:type="dxa" w:w="1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10000">
            <w:pPr>
              <w:ind/>
              <w:jc w:val="both"/>
              <w:rPr>
                <w:sz w:val="22"/>
              </w:rPr>
            </w:pPr>
          </w:p>
        </w:tc>
        <w:tc>
          <w:tcPr>
            <w:tcW w:type="dxa" w:w="115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10000">
            <w:pPr>
              <w:ind/>
              <w:jc w:val="both"/>
              <w:rPr>
                <w:sz w:val="22"/>
              </w:rPr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10000">
            <w:pPr>
              <w:ind/>
              <w:jc w:val="both"/>
              <w:rPr>
                <w:sz w:val="22"/>
              </w:rPr>
            </w:pPr>
          </w:p>
        </w:tc>
        <w:tc>
          <w:tcPr>
            <w:tcW w:type="dxa" w:w="2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10000">
            <w:pPr>
              <w:ind/>
              <w:jc w:val="both"/>
              <w:rPr>
                <w:sz w:val="22"/>
              </w:rPr>
            </w:pPr>
          </w:p>
        </w:tc>
      </w:tr>
      <w:tr>
        <w:tc>
          <w:tcPr>
            <w:tcW w:type="dxa" w:w="5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10000">
            <w:pPr>
              <w:ind/>
              <w:jc w:val="both"/>
              <w:rPr>
                <w:sz w:val="22"/>
              </w:rPr>
            </w:pPr>
          </w:p>
        </w:tc>
        <w:tc>
          <w:tcPr>
            <w:tcW w:type="dxa" w:w="56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10000">
            <w:pPr>
              <w:ind/>
              <w:jc w:val="both"/>
              <w:rPr>
                <w:sz w:val="22"/>
              </w:rPr>
            </w:pP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10000">
            <w:pPr>
              <w:ind/>
              <w:jc w:val="both"/>
              <w:rPr>
                <w:sz w:val="22"/>
              </w:rPr>
            </w:pPr>
          </w:p>
        </w:tc>
        <w:tc>
          <w:tcPr>
            <w:tcW w:type="dxa" w:w="1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10000">
            <w:pPr>
              <w:ind/>
              <w:jc w:val="both"/>
              <w:rPr>
                <w:sz w:val="22"/>
              </w:rPr>
            </w:pPr>
          </w:p>
        </w:tc>
        <w:tc>
          <w:tcPr>
            <w:tcW w:type="dxa" w:w="115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10000">
            <w:pPr>
              <w:ind/>
              <w:jc w:val="both"/>
              <w:rPr>
                <w:sz w:val="22"/>
              </w:rPr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10000">
            <w:pPr>
              <w:ind/>
              <w:jc w:val="both"/>
              <w:rPr>
                <w:sz w:val="22"/>
              </w:rPr>
            </w:pPr>
          </w:p>
        </w:tc>
        <w:tc>
          <w:tcPr>
            <w:tcW w:type="dxa" w:w="2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10000">
            <w:pPr>
              <w:ind/>
              <w:jc w:val="both"/>
              <w:rPr>
                <w:sz w:val="22"/>
              </w:rPr>
            </w:pPr>
          </w:p>
        </w:tc>
      </w:tr>
      <w:tr>
        <w:tc>
          <w:tcPr>
            <w:tcW w:type="dxa" w:w="5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10000">
            <w:pPr>
              <w:ind/>
              <w:jc w:val="both"/>
              <w:rPr>
                <w:sz w:val="22"/>
              </w:rPr>
            </w:pPr>
          </w:p>
        </w:tc>
        <w:tc>
          <w:tcPr>
            <w:tcW w:type="dxa" w:w="11418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Подпрограмма 1</w:t>
            </w:r>
            <w:r>
              <w:t xml:space="preserve"> – не предусмотрено</w:t>
            </w:r>
          </w:p>
        </w:tc>
        <w:tc>
          <w:tcPr>
            <w:tcW w:type="dxa" w:w="2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10000">
            <w:pPr>
              <w:ind/>
              <w:jc w:val="both"/>
              <w:rPr>
                <w:sz w:val="22"/>
              </w:rPr>
            </w:pPr>
          </w:p>
        </w:tc>
      </w:tr>
      <w:tr>
        <w:trPr>
          <w:trHeight w:hRule="atLeast" w:val="400"/>
        </w:trPr>
        <w:tc>
          <w:tcPr>
            <w:tcW w:type="dxa" w:w="5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10000">
            <w:pPr>
              <w:ind/>
              <w:jc w:val="both"/>
              <w:rPr>
                <w:sz w:val="22"/>
              </w:rPr>
            </w:pPr>
          </w:p>
        </w:tc>
        <w:tc>
          <w:tcPr>
            <w:tcW w:type="dxa" w:w="56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Показатель (индикатор)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10000">
            <w:pPr>
              <w:ind/>
              <w:jc w:val="both"/>
              <w:rPr>
                <w:sz w:val="22"/>
              </w:rPr>
            </w:pPr>
          </w:p>
        </w:tc>
        <w:tc>
          <w:tcPr>
            <w:tcW w:type="dxa" w:w="1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10000">
            <w:pPr>
              <w:ind/>
              <w:jc w:val="both"/>
              <w:rPr>
                <w:sz w:val="22"/>
              </w:rPr>
            </w:pPr>
          </w:p>
        </w:tc>
        <w:tc>
          <w:tcPr>
            <w:tcW w:type="dxa" w:w="115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10000">
            <w:pPr>
              <w:ind/>
              <w:jc w:val="both"/>
              <w:rPr>
                <w:sz w:val="22"/>
              </w:rPr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10000">
            <w:pPr>
              <w:ind/>
              <w:jc w:val="both"/>
              <w:rPr>
                <w:sz w:val="22"/>
              </w:rPr>
            </w:pPr>
          </w:p>
        </w:tc>
        <w:tc>
          <w:tcPr>
            <w:tcW w:type="dxa" w:w="2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10000">
            <w:pPr>
              <w:ind/>
              <w:jc w:val="both"/>
              <w:rPr>
                <w:sz w:val="22"/>
              </w:rPr>
            </w:pPr>
          </w:p>
        </w:tc>
      </w:tr>
      <w:tr>
        <w:tc>
          <w:tcPr>
            <w:tcW w:type="dxa" w:w="5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..</w:t>
            </w:r>
          </w:p>
        </w:tc>
        <w:tc>
          <w:tcPr>
            <w:tcW w:type="dxa" w:w="702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...</w:t>
            </w:r>
          </w:p>
        </w:tc>
        <w:tc>
          <w:tcPr>
            <w:tcW w:type="dxa" w:w="1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10000">
            <w:pPr>
              <w:ind/>
              <w:jc w:val="both"/>
              <w:rPr>
                <w:sz w:val="22"/>
              </w:rPr>
            </w:pPr>
          </w:p>
        </w:tc>
        <w:tc>
          <w:tcPr>
            <w:tcW w:type="dxa" w:w="115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10000">
            <w:pPr>
              <w:ind/>
              <w:jc w:val="both"/>
              <w:rPr>
                <w:sz w:val="22"/>
              </w:rPr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10000">
            <w:pPr>
              <w:ind/>
              <w:jc w:val="both"/>
              <w:rPr>
                <w:sz w:val="22"/>
              </w:rPr>
            </w:pPr>
          </w:p>
        </w:tc>
        <w:tc>
          <w:tcPr>
            <w:tcW w:type="dxa" w:w="2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10000">
            <w:pPr>
              <w:ind/>
              <w:jc w:val="both"/>
              <w:rPr>
                <w:sz w:val="22"/>
              </w:rPr>
            </w:pPr>
          </w:p>
        </w:tc>
      </w:tr>
    </w:tbl>
    <w:p w14:paraId="56010000">
      <w:pPr>
        <w:ind/>
        <w:jc w:val="both"/>
        <w:rPr>
          <w:sz w:val="22"/>
        </w:rPr>
      </w:pPr>
    </w:p>
    <w:p w14:paraId="57010000">
      <w:pPr>
        <w:ind/>
        <w:jc w:val="both"/>
        <w:rPr>
          <w:sz w:val="22"/>
        </w:rPr>
      </w:pPr>
      <w:r>
        <w:rPr>
          <w:sz w:val="22"/>
        </w:rPr>
        <w:t>--------------------------------</w:t>
      </w:r>
    </w:p>
    <w:p w14:paraId="58010000">
      <w:pPr>
        <w:ind/>
        <w:jc w:val="both"/>
        <w:rPr>
          <w:sz w:val="22"/>
        </w:rPr>
      </w:pPr>
      <w:bookmarkStart w:id="3" w:name="Par351"/>
      <w:bookmarkEnd w:id="3"/>
      <w:r>
        <w:rPr>
          <w:sz w:val="22"/>
        </w:rPr>
        <w:t xml:space="preserve">&lt;*&gt; </w:t>
      </w:r>
      <w:r>
        <w:rPr>
          <w:sz w:val="22"/>
        </w:rPr>
        <w:t>заполняется для годового отчета</w:t>
      </w:r>
    </w:p>
    <w:p w14:paraId="59010000">
      <w:pPr>
        <w:ind/>
        <w:jc w:val="both"/>
        <w:rPr>
          <w:sz w:val="22"/>
        </w:rPr>
      </w:pPr>
      <w:r>
        <w:rPr>
          <w:sz w:val="22"/>
        </w:rPr>
        <w:t>&lt;*</w:t>
      </w:r>
      <w:r>
        <w:rPr>
          <w:sz w:val="22"/>
        </w:rPr>
        <w:t>*</w:t>
      </w:r>
      <w:r>
        <w:rPr>
          <w:sz w:val="22"/>
        </w:rPr>
        <w:t>&gt;</w:t>
      </w:r>
      <w:r>
        <w:rPr>
          <w:sz w:val="22"/>
        </w:rPr>
        <w:t xml:space="preserve">Приводится фактическое значение показателя (индикатора) за год, предшествующий </w:t>
      </w:r>
      <w:r>
        <w:rPr>
          <w:sz w:val="22"/>
        </w:rPr>
        <w:t>отчетному</w:t>
      </w:r>
      <w:r>
        <w:rPr>
          <w:sz w:val="22"/>
        </w:rPr>
        <w:t>.</w:t>
      </w:r>
    </w:p>
    <w:p w14:paraId="5A010000">
      <w:pPr>
        <w:ind/>
        <w:contextualSpacing w:val="1"/>
        <w:jc w:val="center"/>
      </w:pPr>
      <w:bookmarkStart w:id="4" w:name="_GoBack"/>
      <w:bookmarkEnd w:id="4"/>
    </w:p>
    <w:sectPr>
      <w:pgSz w:h="11906" w:orient="landscape" w:w="16838"/>
      <w:pgMar w:bottom="567" w:footer="709" w:gutter="0" w:header="709" w:left="851" w:right="709" w:top="1418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9" w:type="paragraph">
    <w:name w:val="Normal"/>
    <w:link w:val="Style_9_ch"/>
    <w:uiPriority w:val="0"/>
    <w:qFormat/>
    <w:pPr>
      <w:spacing w:after="0" w:line="240" w:lineRule="auto"/>
      <w:ind/>
    </w:pPr>
    <w:rPr>
      <w:rFonts w:ascii="Times New Roman" w:hAnsi="Times New Roman"/>
      <w:sz w:val="24"/>
    </w:rPr>
  </w:style>
  <w:style w:default="1" w:styleId="Style_9_ch" w:type="character">
    <w:name w:val="Normal"/>
    <w:link w:val="Style_9"/>
    <w:rPr>
      <w:rFonts w:ascii="Times New Roman" w:hAnsi="Times New Roman"/>
      <w:sz w:val="24"/>
    </w:rPr>
  </w:style>
  <w:style w:styleId="Style_10" w:type="paragraph">
    <w:name w:val="toc 2"/>
    <w:next w:val="Style_9"/>
    <w:link w:val="Style_10_ch"/>
    <w:uiPriority w:val="39"/>
    <w:pPr>
      <w:ind w:firstLine="0" w:left="200"/>
    </w:pPr>
    <w:rPr>
      <w:rFonts w:ascii="XO Thames" w:hAnsi="XO Thames"/>
      <w:sz w:val="28"/>
    </w:rPr>
  </w:style>
  <w:style w:styleId="Style_10_ch" w:type="character">
    <w:name w:val="toc 2"/>
    <w:link w:val="Style_10"/>
    <w:rPr>
      <w:rFonts w:ascii="XO Thames" w:hAnsi="XO Thames"/>
      <w:sz w:val="28"/>
    </w:rPr>
  </w:style>
  <w:style w:styleId="Style_11" w:type="paragraph">
    <w:name w:val="toc 4"/>
    <w:next w:val="Style_9"/>
    <w:link w:val="Style_11_ch"/>
    <w:uiPriority w:val="39"/>
    <w:pPr>
      <w:ind w:firstLine="0" w:left="600"/>
    </w:pPr>
    <w:rPr>
      <w:rFonts w:ascii="XO Thames" w:hAnsi="XO Thames"/>
      <w:sz w:val="28"/>
    </w:rPr>
  </w:style>
  <w:style w:styleId="Style_11_ch" w:type="character">
    <w:name w:val="toc 4"/>
    <w:link w:val="Style_11"/>
    <w:rPr>
      <w:rFonts w:ascii="XO Thames" w:hAnsi="XO Thames"/>
      <w:sz w:val="28"/>
    </w:rPr>
  </w:style>
  <w:style w:styleId="Style_12" w:type="paragraph">
    <w:name w:val="toc 6"/>
    <w:next w:val="Style_9"/>
    <w:link w:val="Style_12_ch"/>
    <w:uiPriority w:val="39"/>
    <w:pPr>
      <w:ind w:firstLine="0" w:left="1000"/>
    </w:pPr>
    <w:rPr>
      <w:rFonts w:ascii="XO Thames" w:hAnsi="XO Thames"/>
      <w:sz w:val="28"/>
    </w:rPr>
  </w:style>
  <w:style w:styleId="Style_12_ch" w:type="character">
    <w:name w:val="toc 6"/>
    <w:link w:val="Style_12"/>
    <w:rPr>
      <w:rFonts w:ascii="XO Thames" w:hAnsi="XO Thames"/>
      <w:sz w:val="28"/>
    </w:rPr>
  </w:style>
  <w:style w:styleId="Style_13" w:type="paragraph">
    <w:name w:val="toc 7"/>
    <w:next w:val="Style_9"/>
    <w:link w:val="Style_13_ch"/>
    <w:uiPriority w:val="39"/>
    <w:pPr>
      <w:ind w:firstLine="0" w:left="1200"/>
    </w:pPr>
    <w:rPr>
      <w:rFonts w:ascii="XO Thames" w:hAnsi="XO Thames"/>
      <w:sz w:val="28"/>
    </w:rPr>
  </w:style>
  <w:style w:styleId="Style_13_ch" w:type="character">
    <w:name w:val="toc 7"/>
    <w:link w:val="Style_13"/>
    <w:rPr>
      <w:rFonts w:ascii="XO Thames" w:hAnsi="XO Thames"/>
      <w:sz w:val="28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4" w:type="paragraph">
    <w:name w:val="ConsPlusTitle"/>
    <w:link w:val="Style_4_ch"/>
    <w:pPr>
      <w:widowControl w:val="0"/>
      <w:spacing w:after="0" w:line="240" w:lineRule="auto"/>
      <w:ind/>
    </w:pPr>
    <w:rPr>
      <w:rFonts w:ascii="Calibri" w:hAnsi="Calibri"/>
      <w:b w:val="1"/>
    </w:rPr>
  </w:style>
  <w:style w:styleId="Style_4_ch" w:type="character">
    <w:name w:val="ConsPlusTitle"/>
    <w:link w:val="Style_4"/>
    <w:rPr>
      <w:rFonts w:ascii="Calibri" w:hAnsi="Calibri"/>
      <w:b w:val="1"/>
    </w:rPr>
  </w:style>
  <w:style w:styleId="Style_15" w:type="paragraph">
    <w:name w:val="Основной шрифт абзаца1"/>
    <w:link w:val="Style_15_ch"/>
  </w:style>
  <w:style w:styleId="Style_15_ch" w:type="character">
    <w:name w:val="Основной шрифт абзаца1"/>
    <w:link w:val="Style_15"/>
  </w:style>
  <w:style w:styleId="Style_16" w:type="paragraph">
    <w:name w:val="heading 3"/>
    <w:next w:val="Style_9"/>
    <w:link w:val="Style_16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6_ch" w:type="character">
    <w:name w:val="heading 3"/>
    <w:link w:val="Style_16"/>
    <w:rPr>
      <w:rFonts w:ascii="XO Thames" w:hAnsi="XO Thames"/>
      <w:b w:val="1"/>
      <w:sz w:val="26"/>
    </w:rPr>
  </w:style>
  <w:style w:styleId="Style_17" w:type="paragraph">
    <w:name w:val="Обычный1"/>
    <w:link w:val="Style_17_ch"/>
    <w:rPr>
      <w:rFonts w:ascii="Times New Roman" w:hAnsi="Times New Roman"/>
      <w:sz w:val="24"/>
    </w:rPr>
  </w:style>
  <w:style w:styleId="Style_17_ch" w:type="character">
    <w:name w:val="Обычный1"/>
    <w:link w:val="Style_17"/>
    <w:rPr>
      <w:rFonts w:ascii="Times New Roman" w:hAnsi="Times New Roman"/>
      <w:sz w:val="24"/>
    </w:rPr>
  </w:style>
  <w:style w:styleId="Style_18" w:type="paragraph">
    <w:name w:val="toc 3"/>
    <w:next w:val="Style_9"/>
    <w:link w:val="Style_18_ch"/>
    <w:uiPriority w:val="39"/>
    <w:pPr>
      <w:ind w:firstLine="0" w:left="400"/>
    </w:pPr>
    <w:rPr>
      <w:rFonts w:ascii="XO Thames" w:hAnsi="XO Thames"/>
      <w:sz w:val="28"/>
    </w:rPr>
  </w:style>
  <w:style w:styleId="Style_18_ch" w:type="character">
    <w:name w:val="toc 3"/>
    <w:link w:val="Style_18"/>
    <w:rPr>
      <w:rFonts w:ascii="XO Thames" w:hAnsi="XO Thames"/>
      <w:sz w:val="28"/>
    </w:rPr>
  </w:style>
  <w:style w:styleId="Style_19" w:type="paragraph">
    <w:name w:val="ConsPlusTitlePage"/>
    <w:link w:val="Style_19_ch"/>
    <w:pPr>
      <w:widowControl w:val="0"/>
      <w:spacing w:after="0" w:line="240" w:lineRule="auto"/>
      <w:ind/>
    </w:pPr>
    <w:rPr>
      <w:rFonts w:ascii="Tahoma" w:hAnsi="Tahoma"/>
      <w:sz w:val="20"/>
    </w:rPr>
  </w:style>
  <w:style w:styleId="Style_19_ch" w:type="character">
    <w:name w:val="ConsPlusTitlePage"/>
    <w:link w:val="Style_19"/>
    <w:rPr>
      <w:rFonts w:ascii="Tahoma" w:hAnsi="Tahoma"/>
      <w:sz w:val="20"/>
    </w:rPr>
  </w:style>
  <w:style w:styleId="Style_2" w:type="paragraph">
    <w:name w:val="msonormalbullet1.gif"/>
    <w:basedOn w:val="Style_9"/>
    <w:link w:val="Style_2_ch"/>
    <w:pPr>
      <w:spacing w:afterAutospacing="on" w:beforeAutospacing="on"/>
      <w:ind/>
    </w:pPr>
  </w:style>
  <w:style w:styleId="Style_2_ch" w:type="character">
    <w:name w:val="msonormalbullet1.gif"/>
    <w:basedOn w:val="Style_9_ch"/>
    <w:link w:val="Style_2"/>
  </w:style>
  <w:style w:styleId="Style_20" w:type="paragraph">
    <w:name w:val="heading 5"/>
    <w:next w:val="Style_9"/>
    <w:link w:val="Style_2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20_ch" w:type="character">
    <w:name w:val="heading 5"/>
    <w:link w:val="Style_20"/>
    <w:rPr>
      <w:rFonts w:ascii="XO Thames" w:hAnsi="XO Thames"/>
      <w:b w:val="1"/>
    </w:rPr>
  </w:style>
  <w:style w:styleId="Style_1" w:type="paragraph">
    <w:name w:val="heading 1"/>
    <w:basedOn w:val="Style_9"/>
    <w:link w:val="Style_1_ch"/>
    <w:uiPriority w:val="9"/>
    <w:qFormat/>
    <w:pPr>
      <w:spacing w:afterAutospacing="on" w:beforeAutospacing="on"/>
      <w:ind/>
      <w:outlineLvl w:val="0"/>
    </w:pPr>
    <w:rPr>
      <w:b w:val="1"/>
      <w:sz w:val="48"/>
    </w:rPr>
  </w:style>
  <w:style w:styleId="Style_1_ch" w:type="character">
    <w:name w:val="heading 1"/>
    <w:basedOn w:val="Style_9_ch"/>
    <w:link w:val="Style_1"/>
    <w:rPr>
      <w:b w:val="1"/>
      <w:sz w:val="48"/>
    </w:rPr>
  </w:style>
  <w:style w:styleId="Style_21" w:type="paragraph">
    <w:name w:val="Hyperlink"/>
    <w:link w:val="Style_21_ch"/>
    <w:rPr>
      <w:color w:val="0000FF"/>
      <w:u w:val="single"/>
    </w:rPr>
  </w:style>
  <w:style w:styleId="Style_21_ch" w:type="character">
    <w:name w:val="Hyperlink"/>
    <w:link w:val="Style_21"/>
    <w:rPr>
      <w:color w:val="0000FF"/>
      <w:u w:val="single"/>
    </w:rPr>
  </w:style>
  <w:style w:styleId="Style_22" w:type="paragraph">
    <w:name w:val="Footnote"/>
    <w:link w:val="Style_22_ch"/>
    <w:pPr>
      <w:ind w:firstLine="851"/>
      <w:jc w:val="both"/>
    </w:pPr>
    <w:rPr>
      <w:rFonts w:ascii="XO Thames" w:hAnsi="XO Thames"/>
    </w:rPr>
  </w:style>
  <w:style w:styleId="Style_22_ch" w:type="character">
    <w:name w:val="Footnote"/>
    <w:link w:val="Style_22"/>
    <w:rPr>
      <w:rFonts w:ascii="XO Thames" w:hAnsi="XO Thames"/>
    </w:rPr>
  </w:style>
  <w:style w:styleId="Style_23" w:type="paragraph">
    <w:name w:val="toc 1"/>
    <w:next w:val="Style_9"/>
    <w:link w:val="Style_23_ch"/>
    <w:uiPriority w:val="39"/>
    <w:rPr>
      <w:rFonts w:ascii="XO Thames" w:hAnsi="XO Thames"/>
      <w:b w:val="1"/>
      <w:sz w:val="28"/>
    </w:rPr>
  </w:style>
  <w:style w:styleId="Style_23_ch" w:type="character">
    <w:name w:val="toc 1"/>
    <w:link w:val="Style_23"/>
    <w:rPr>
      <w:rFonts w:ascii="XO Thames" w:hAnsi="XO Thames"/>
      <w:b w:val="1"/>
      <w:sz w:val="28"/>
    </w:rPr>
  </w:style>
  <w:style w:styleId="Style_24" w:type="paragraph">
    <w:name w:val="Header and Footer"/>
    <w:link w:val="Style_24_ch"/>
    <w:pPr>
      <w:spacing w:line="240" w:lineRule="auto"/>
      <w:ind/>
      <w:jc w:val="both"/>
    </w:pPr>
    <w:rPr>
      <w:rFonts w:ascii="XO Thames" w:hAnsi="XO Thames"/>
      <w:sz w:val="20"/>
    </w:rPr>
  </w:style>
  <w:style w:styleId="Style_24_ch" w:type="character">
    <w:name w:val="Header and Footer"/>
    <w:link w:val="Style_24"/>
    <w:rPr>
      <w:rFonts w:ascii="XO Thames" w:hAnsi="XO Thames"/>
      <w:sz w:val="20"/>
    </w:rPr>
  </w:style>
  <w:style w:styleId="Style_25" w:type="paragraph">
    <w:name w:val="toc 9"/>
    <w:next w:val="Style_9"/>
    <w:link w:val="Style_25_ch"/>
    <w:uiPriority w:val="39"/>
    <w:pPr>
      <w:ind w:firstLine="0" w:left="1600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26" w:type="paragraph">
    <w:name w:val="toc 8"/>
    <w:next w:val="Style_9"/>
    <w:link w:val="Style_26_ch"/>
    <w:uiPriority w:val="39"/>
    <w:pPr>
      <w:ind w:firstLine="0" w:left="1400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3" w:type="paragraph">
    <w:name w:val="msonormalbullet2.gif"/>
    <w:basedOn w:val="Style_9"/>
    <w:link w:val="Style_3_ch"/>
    <w:pPr>
      <w:spacing w:afterAutospacing="on" w:beforeAutospacing="on"/>
      <w:ind/>
    </w:pPr>
  </w:style>
  <w:style w:styleId="Style_3_ch" w:type="character">
    <w:name w:val="msonormalbullet2.gif"/>
    <w:basedOn w:val="Style_9_ch"/>
    <w:link w:val="Style_3"/>
  </w:style>
  <w:style w:styleId="Style_27" w:type="paragraph">
    <w:name w:val="toc 5"/>
    <w:next w:val="Style_9"/>
    <w:link w:val="Style_27_ch"/>
    <w:uiPriority w:val="39"/>
    <w:pPr>
      <w:ind w:firstLine="0" w:left="800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28" w:type="paragraph">
    <w:name w:val="List Paragraph"/>
    <w:basedOn w:val="Style_9"/>
    <w:link w:val="Style_28_ch"/>
    <w:pPr>
      <w:ind w:firstLine="0" w:left="720"/>
      <w:contextualSpacing w:val="1"/>
    </w:pPr>
  </w:style>
  <w:style w:styleId="Style_28_ch" w:type="character">
    <w:name w:val="List Paragraph"/>
    <w:basedOn w:val="Style_9_ch"/>
    <w:link w:val="Style_28"/>
  </w:style>
  <w:style w:styleId="Style_29" w:type="paragraph">
    <w:name w:val="Subtitle"/>
    <w:next w:val="Style_9"/>
    <w:link w:val="Style_2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30" w:type="paragraph">
    <w:name w:val="toc 10"/>
    <w:next w:val="Style_9"/>
    <w:link w:val="Style_30_ch"/>
    <w:uiPriority w:val="39"/>
    <w:pPr>
      <w:ind w:firstLine="0" w:left="1800"/>
    </w:pPr>
    <w:rPr>
      <w:rFonts w:ascii="XO Thames" w:hAnsi="XO Thames"/>
      <w:sz w:val="28"/>
    </w:rPr>
  </w:style>
  <w:style w:styleId="Style_30_ch" w:type="character">
    <w:name w:val="toc 10"/>
    <w:link w:val="Style_30"/>
    <w:rPr>
      <w:rFonts w:ascii="XO Thames" w:hAnsi="XO Thames"/>
      <w:sz w:val="28"/>
    </w:rPr>
  </w:style>
  <w:style w:styleId="Style_31" w:type="paragraph">
    <w:name w:val="Title"/>
    <w:next w:val="Style_9"/>
    <w:link w:val="Style_3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1_ch" w:type="character">
    <w:name w:val="Title"/>
    <w:link w:val="Style_31"/>
    <w:rPr>
      <w:rFonts w:ascii="XO Thames" w:hAnsi="XO Thames"/>
      <w:b w:val="1"/>
      <w:caps w:val="1"/>
      <w:sz w:val="40"/>
    </w:rPr>
  </w:style>
  <w:style w:styleId="Style_32" w:type="paragraph">
    <w:name w:val="heading 4"/>
    <w:next w:val="Style_9"/>
    <w:link w:val="Style_3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2_ch" w:type="character">
    <w:name w:val="heading 4"/>
    <w:link w:val="Style_32"/>
    <w:rPr>
      <w:rFonts w:ascii="XO Thames" w:hAnsi="XO Thames"/>
      <w:b w:val="1"/>
      <w:sz w:val="24"/>
    </w:rPr>
  </w:style>
  <w:style w:styleId="Style_33" w:type="paragraph">
    <w:name w:val="heading 2"/>
    <w:next w:val="Style_9"/>
    <w:link w:val="Style_3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3_ch" w:type="character">
    <w:name w:val="heading 2"/>
    <w:link w:val="Style_33"/>
    <w:rPr>
      <w:rFonts w:ascii="XO Thames" w:hAnsi="XO Thames"/>
      <w:b w:val="1"/>
      <w:sz w:val="28"/>
    </w:rPr>
  </w:style>
  <w:style w:styleId="Style_5" w:type="paragraph">
    <w:name w:val="Гиперссылка1"/>
    <w:link w:val="Style_5_ch"/>
    <w:rPr>
      <w:color w:val="0000FF"/>
      <w:u w:val="single"/>
    </w:rPr>
  </w:style>
  <w:style w:styleId="Style_5_ch" w:type="character">
    <w:name w:val="Гиперссылка1"/>
    <w:link w:val="Style_5"/>
    <w:rPr>
      <w:color w:val="0000FF"/>
      <w:u w:val="single"/>
    </w:rPr>
  </w:style>
  <w:style w:styleId="Style_6" w:type="paragraph">
    <w:name w:val="ConsPlusNormal"/>
    <w:link w:val="Style_6_ch"/>
    <w:pPr>
      <w:widowControl w:val="0"/>
      <w:spacing w:after="0" w:line="240" w:lineRule="auto"/>
      <w:ind/>
    </w:pPr>
    <w:rPr>
      <w:rFonts w:ascii="Calibri" w:hAnsi="Calibri"/>
    </w:rPr>
  </w:style>
  <w:style w:styleId="Style_6_ch" w:type="character">
    <w:name w:val="ConsPlusNormal"/>
    <w:link w:val="Style_6"/>
    <w:rPr>
      <w:rFonts w:ascii="Calibri" w:hAnsi="Calibri"/>
    </w:rPr>
  </w:style>
  <w:style w:default="1" w:styleId="Style_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8" w:type="table">
    <w:name w:val="Table Grid"/>
    <w:basedOn w:val="Style_7"/>
    <w:pPr>
      <w:spacing w:after="0" w:line="240" w:lineRule="auto"/>
      <w:ind/>
    </w:pPr>
    <w:rPr>
      <w:rFonts w:ascii="Calibri" w:hAnsi="Calibri"/>
      <w:color w:val="00000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2023-06-27T07:25:02Z</dcterms:modified>
</cp:coreProperties>
</file>